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88AE" w14:textId="77777777" w:rsidR="00825CFB" w:rsidRPr="005E017C" w:rsidRDefault="00825CFB" w:rsidP="00825CFB">
      <w:pPr>
        <w:spacing w:after="0" w:line="240" w:lineRule="auto"/>
        <w:rPr>
          <w:rFonts w:eastAsia="Calibri"/>
          <w:sz w:val="24"/>
          <w:szCs w:val="24"/>
        </w:rPr>
      </w:pPr>
      <w:r w:rsidRPr="005E017C">
        <w:rPr>
          <w:rFonts w:eastAsia="Calibri"/>
          <w:sz w:val="24"/>
          <w:szCs w:val="24"/>
          <w:highlight w:val="yellow"/>
        </w:rPr>
        <w:t>[DATE]</w:t>
      </w:r>
      <w:r w:rsidRPr="005E017C">
        <w:rPr>
          <w:rFonts w:eastAsia="Calibri"/>
          <w:sz w:val="24"/>
          <w:szCs w:val="24"/>
        </w:rPr>
        <w:t>, 2020</w:t>
      </w:r>
    </w:p>
    <w:p w14:paraId="36601B48" w14:textId="77777777" w:rsidR="00825CFB" w:rsidRPr="005E017C" w:rsidRDefault="00825CFB" w:rsidP="00825CFB">
      <w:pPr>
        <w:spacing w:after="0" w:line="240" w:lineRule="auto"/>
        <w:rPr>
          <w:rFonts w:eastAsia="Calibri"/>
          <w:sz w:val="24"/>
          <w:szCs w:val="24"/>
        </w:rPr>
      </w:pPr>
    </w:p>
    <w:p w14:paraId="2003691B" w14:textId="77777777" w:rsidR="00825CFB" w:rsidRPr="005E017C" w:rsidRDefault="006B4629" w:rsidP="00825CFB">
      <w:pPr>
        <w:spacing w:after="0" w:line="240" w:lineRule="auto"/>
        <w:rPr>
          <w:rFonts w:eastAsia="Calibri"/>
          <w:sz w:val="24"/>
          <w:szCs w:val="24"/>
        </w:rPr>
      </w:pPr>
      <w:hyperlink r:id="rId8" w:history="1">
        <w:r w:rsidR="00825CFB" w:rsidRPr="005E017C">
          <w:rPr>
            <w:rFonts w:eastAsia="Calibri"/>
            <w:color w:val="0563C1"/>
            <w:sz w:val="24"/>
            <w:szCs w:val="24"/>
            <w:u w:val="single"/>
          </w:rPr>
          <w:t>Comments@fdic.gov</w:t>
        </w:r>
      </w:hyperlink>
    </w:p>
    <w:p w14:paraId="3DE40361" w14:textId="77777777" w:rsidR="00825CFB" w:rsidRPr="005E017C" w:rsidRDefault="006B4629" w:rsidP="00825CFB">
      <w:pPr>
        <w:spacing w:after="0" w:line="240" w:lineRule="auto"/>
        <w:rPr>
          <w:rFonts w:eastAsia="Calibri"/>
          <w:sz w:val="24"/>
          <w:szCs w:val="24"/>
        </w:rPr>
      </w:pPr>
      <w:hyperlink r:id="rId9" w:history="1">
        <w:r w:rsidR="00825CFB" w:rsidRPr="005E017C">
          <w:rPr>
            <w:rFonts w:eastAsia="Calibri"/>
            <w:color w:val="0563C1"/>
            <w:sz w:val="24"/>
            <w:szCs w:val="24"/>
            <w:u w:val="single"/>
          </w:rPr>
          <w:t>Comments@occ.treas.gov</w:t>
        </w:r>
      </w:hyperlink>
    </w:p>
    <w:p w14:paraId="6F628085" w14:textId="77777777" w:rsidR="00825CFB" w:rsidRPr="005E017C" w:rsidRDefault="00825CFB" w:rsidP="00825CFB">
      <w:pPr>
        <w:spacing w:after="0" w:line="240" w:lineRule="auto"/>
        <w:rPr>
          <w:rFonts w:eastAsia="Calibri"/>
          <w:sz w:val="24"/>
          <w:szCs w:val="24"/>
        </w:rPr>
      </w:pPr>
    </w:p>
    <w:p w14:paraId="30E957D1" w14:textId="77777777" w:rsidR="00825CFB" w:rsidRPr="005E017C" w:rsidRDefault="00825CFB" w:rsidP="00825CFB">
      <w:pPr>
        <w:spacing w:after="0" w:line="240" w:lineRule="auto"/>
        <w:rPr>
          <w:rFonts w:eastAsia="Calibri"/>
          <w:sz w:val="24"/>
          <w:szCs w:val="24"/>
        </w:rPr>
      </w:pPr>
      <w:r w:rsidRPr="005E017C">
        <w:rPr>
          <w:rFonts w:eastAsia="Calibri"/>
          <w:sz w:val="24"/>
          <w:szCs w:val="24"/>
        </w:rPr>
        <w:t xml:space="preserve">RE: </w:t>
      </w:r>
      <w:r w:rsidRPr="005E017C">
        <w:rPr>
          <w:rFonts w:eastAsia="Calibri"/>
          <w:sz w:val="24"/>
          <w:szCs w:val="24"/>
        </w:rPr>
        <w:tab/>
        <w:t xml:space="preserve">Community Reinvestment Act Regulations </w:t>
      </w:r>
    </w:p>
    <w:p w14:paraId="02DABD2E" w14:textId="77777777" w:rsidR="00825CFB" w:rsidRPr="005E017C" w:rsidRDefault="00825CFB" w:rsidP="00825CFB">
      <w:pPr>
        <w:spacing w:after="0" w:line="240" w:lineRule="auto"/>
        <w:ind w:firstLine="720"/>
        <w:rPr>
          <w:rFonts w:eastAsia="Calibri"/>
          <w:sz w:val="24"/>
          <w:szCs w:val="24"/>
        </w:rPr>
      </w:pPr>
      <w:r w:rsidRPr="005E017C">
        <w:rPr>
          <w:rFonts w:eastAsia="Calibri"/>
          <w:sz w:val="24"/>
          <w:szCs w:val="24"/>
        </w:rPr>
        <w:t xml:space="preserve">RIN 3064-AF22: Notice of Proposed Rulemaking, </w:t>
      </w:r>
    </w:p>
    <w:p w14:paraId="1C982F6E" w14:textId="77777777" w:rsidR="00825CFB" w:rsidRPr="005E017C" w:rsidRDefault="00825CFB" w:rsidP="00825CFB">
      <w:pPr>
        <w:spacing w:after="0" w:line="240" w:lineRule="auto"/>
        <w:rPr>
          <w:rFonts w:eastAsia="Calibri"/>
          <w:sz w:val="24"/>
          <w:szCs w:val="24"/>
        </w:rPr>
      </w:pPr>
      <w:r w:rsidRPr="005E017C">
        <w:rPr>
          <w:rFonts w:eastAsia="Calibri"/>
          <w:sz w:val="24"/>
          <w:szCs w:val="24"/>
        </w:rPr>
        <w:t xml:space="preserve">       </w:t>
      </w:r>
      <w:r w:rsidRPr="005E017C">
        <w:rPr>
          <w:rFonts w:eastAsia="Calibri"/>
          <w:sz w:val="24"/>
          <w:szCs w:val="24"/>
        </w:rPr>
        <w:tab/>
        <w:t>Docket ID OCC-2018-0008</w:t>
      </w:r>
    </w:p>
    <w:p w14:paraId="15605EC4" w14:textId="77777777" w:rsidR="00825CFB" w:rsidRPr="005E017C" w:rsidRDefault="00825CFB" w:rsidP="00825CFB">
      <w:pPr>
        <w:spacing w:after="0" w:line="240" w:lineRule="auto"/>
        <w:rPr>
          <w:rFonts w:eastAsia="Calibri"/>
          <w:sz w:val="24"/>
          <w:szCs w:val="24"/>
        </w:rPr>
      </w:pPr>
    </w:p>
    <w:p w14:paraId="2D203A7B" w14:textId="77777777" w:rsidR="00825CFB" w:rsidRPr="005E017C" w:rsidRDefault="00825CFB" w:rsidP="00825CFB">
      <w:pPr>
        <w:spacing w:after="0" w:line="240" w:lineRule="auto"/>
        <w:rPr>
          <w:rFonts w:eastAsia="Calibri"/>
          <w:sz w:val="24"/>
          <w:szCs w:val="24"/>
        </w:rPr>
      </w:pPr>
      <w:r w:rsidRPr="005E017C">
        <w:rPr>
          <w:rFonts w:eastAsia="Calibri"/>
          <w:sz w:val="24"/>
          <w:szCs w:val="24"/>
        </w:rPr>
        <w:t>To Whom It May Concern:</w:t>
      </w:r>
    </w:p>
    <w:p w14:paraId="487039C7" w14:textId="77777777" w:rsidR="00825CFB" w:rsidRPr="005E017C" w:rsidRDefault="00825CFB" w:rsidP="00825CFB">
      <w:pPr>
        <w:spacing w:after="0" w:line="240" w:lineRule="auto"/>
        <w:rPr>
          <w:rFonts w:eastAsia="Calibri"/>
          <w:sz w:val="24"/>
          <w:szCs w:val="24"/>
        </w:rPr>
      </w:pPr>
    </w:p>
    <w:p w14:paraId="146570DF" w14:textId="630EAE5F" w:rsidR="00825CFB" w:rsidRPr="005E017C" w:rsidRDefault="005E017C" w:rsidP="00215D3A">
      <w:pPr>
        <w:spacing w:after="0" w:line="240" w:lineRule="auto"/>
        <w:rPr>
          <w:rFonts w:eastAsia="Calibri"/>
          <w:sz w:val="24"/>
          <w:szCs w:val="24"/>
        </w:rPr>
      </w:pPr>
      <w:r w:rsidRPr="005E017C">
        <w:rPr>
          <w:rFonts w:eastAsia="Calibri"/>
          <w:sz w:val="24"/>
          <w:szCs w:val="24"/>
          <w:highlight w:val="yellow"/>
        </w:rPr>
        <w:t>[Organization Name]</w:t>
      </w:r>
      <w:r w:rsidR="00825CFB" w:rsidRPr="005E017C">
        <w:rPr>
          <w:rFonts w:eastAsia="Calibri"/>
          <w:sz w:val="24"/>
          <w:szCs w:val="24"/>
        </w:rPr>
        <w:t xml:space="preserve"> strongly opposes the proposed changes to the Community Reinvestment Act (CRA) regulations and urges that the</w:t>
      </w:r>
      <w:r w:rsidR="001704EF" w:rsidRPr="005E017C">
        <w:rPr>
          <w:rFonts w:eastAsia="Calibri"/>
          <w:sz w:val="24"/>
          <w:szCs w:val="24"/>
        </w:rPr>
        <w:t>y</w:t>
      </w:r>
      <w:r w:rsidR="00825CFB" w:rsidRPr="005E017C">
        <w:rPr>
          <w:rFonts w:eastAsia="Calibri"/>
          <w:sz w:val="24"/>
          <w:szCs w:val="24"/>
        </w:rPr>
        <w:t xml:space="preserve"> be withdrawn.</w:t>
      </w:r>
      <w:r w:rsidR="00DC3E0C" w:rsidRPr="005E017C">
        <w:rPr>
          <w:rFonts w:eastAsia="Calibri"/>
          <w:sz w:val="24"/>
          <w:szCs w:val="24"/>
        </w:rPr>
        <w:t xml:space="preserve"> T</w:t>
      </w:r>
      <w:r w:rsidR="00825CFB" w:rsidRPr="005E017C">
        <w:rPr>
          <w:rFonts w:eastAsia="Calibri"/>
          <w:sz w:val="24"/>
          <w:szCs w:val="24"/>
        </w:rPr>
        <w:t xml:space="preserve">he proposed changes fundamentally undermine and weaken the CRA, putting at risk critical bank investments in affordable housing and other </w:t>
      </w:r>
      <w:r w:rsidR="00C16B8B" w:rsidRPr="005E017C">
        <w:rPr>
          <w:rFonts w:eastAsia="Calibri"/>
          <w:sz w:val="24"/>
          <w:szCs w:val="24"/>
        </w:rPr>
        <w:t xml:space="preserve">community benefitting </w:t>
      </w:r>
      <w:r w:rsidR="00825CFB" w:rsidRPr="005E017C">
        <w:rPr>
          <w:rFonts w:eastAsia="Calibri"/>
          <w:sz w:val="24"/>
          <w:szCs w:val="24"/>
        </w:rPr>
        <w:t>activities</w:t>
      </w:r>
      <w:r w:rsidR="00C16B8B" w:rsidRPr="005E017C">
        <w:rPr>
          <w:rFonts w:eastAsia="Calibri"/>
          <w:sz w:val="24"/>
          <w:szCs w:val="24"/>
        </w:rPr>
        <w:t xml:space="preserve"> that were the clear focus of the CRA when it was passed by Congress in 1977</w:t>
      </w:r>
      <w:r w:rsidR="00825CFB" w:rsidRPr="005E017C">
        <w:rPr>
          <w:rFonts w:eastAsia="Calibri"/>
          <w:sz w:val="24"/>
          <w:szCs w:val="24"/>
        </w:rPr>
        <w:t xml:space="preserve">.  </w:t>
      </w:r>
    </w:p>
    <w:p w14:paraId="03BCF559" w14:textId="58C66490" w:rsidR="00182677" w:rsidRPr="005E017C" w:rsidRDefault="00182677" w:rsidP="00825CFB">
      <w:pPr>
        <w:spacing w:after="0" w:line="240" w:lineRule="auto"/>
        <w:rPr>
          <w:rFonts w:eastAsia="Calibri"/>
          <w:sz w:val="24"/>
          <w:szCs w:val="24"/>
        </w:rPr>
      </w:pPr>
    </w:p>
    <w:p w14:paraId="0BB03ED3" w14:textId="6D151BFB" w:rsidR="00182677" w:rsidRPr="005E017C" w:rsidRDefault="005E017C" w:rsidP="001704EF">
      <w:pPr>
        <w:autoSpaceDE w:val="0"/>
        <w:autoSpaceDN w:val="0"/>
        <w:adjustRightInd w:val="0"/>
        <w:spacing w:after="0" w:line="240" w:lineRule="auto"/>
        <w:rPr>
          <w:rFonts w:ascii="AppleSystemUIFont" w:hAnsi="AppleSystemUIFont" w:cs="AppleSystemUIFont"/>
          <w:sz w:val="24"/>
          <w:szCs w:val="24"/>
        </w:rPr>
      </w:pPr>
      <w:r w:rsidRPr="005E017C">
        <w:rPr>
          <w:rFonts w:ascii="AppleSystemUIFont" w:hAnsi="AppleSystemUIFont" w:cs="AppleSystemUIFont"/>
          <w:sz w:val="24"/>
          <w:szCs w:val="24"/>
          <w:highlight w:val="yellow"/>
        </w:rPr>
        <w:t>[Short Description of Organization]</w:t>
      </w:r>
    </w:p>
    <w:p w14:paraId="4BAA7BD8" w14:textId="77777777" w:rsidR="00825CFB" w:rsidRPr="005E017C" w:rsidRDefault="00825CFB" w:rsidP="00825CFB">
      <w:pPr>
        <w:spacing w:after="0" w:line="240" w:lineRule="auto"/>
        <w:rPr>
          <w:rFonts w:eastAsia="Calibri"/>
          <w:sz w:val="24"/>
          <w:szCs w:val="24"/>
        </w:rPr>
      </w:pPr>
    </w:p>
    <w:p w14:paraId="665DF4F1" w14:textId="63B547EB" w:rsidR="00825CFB" w:rsidRPr="005E017C" w:rsidRDefault="00825CFB" w:rsidP="00825CFB">
      <w:pPr>
        <w:spacing w:after="0" w:line="240" w:lineRule="auto"/>
        <w:rPr>
          <w:rFonts w:eastAsia="Calibri"/>
          <w:sz w:val="24"/>
          <w:szCs w:val="24"/>
        </w:rPr>
      </w:pPr>
      <w:r w:rsidRPr="005E017C">
        <w:rPr>
          <w:rFonts w:eastAsia="Calibri"/>
          <w:sz w:val="24"/>
          <w:szCs w:val="24"/>
        </w:rPr>
        <w:t xml:space="preserve">The </w:t>
      </w:r>
      <w:r w:rsidR="000E6AEC" w:rsidRPr="005E017C">
        <w:rPr>
          <w:rFonts w:eastAsia="Calibri"/>
          <w:sz w:val="24"/>
          <w:szCs w:val="24"/>
        </w:rPr>
        <w:t>primar</w:t>
      </w:r>
      <w:r w:rsidRPr="005E017C">
        <w:rPr>
          <w:rFonts w:eastAsia="Calibri"/>
          <w:sz w:val="24"/>
          <w:szCs w:val="24"/>
        </w:rPr>
        <w:t xml:space="preserve">y source of financing for affordable housing development </w:t>
      </w:r>
      <w:r w:rsidR="005E017C" w:rsidRPr="005E017C">
        <w:rPr>
          <w:rFonts w:eastAsia="Calibri"/>
          <w:sz w:val="24"/>
          <w:szCs w:val="24"/>
        </w:rPr>
        <w:t>organizations</w:t>
      </w:r>
      <w:r w:rsidRPr="005E017C">
        <w:rPr>
          <w:rFonts w:eastAsia="Calibri"/>
          <w:sz w:val="24"/>
          <w:szCs w:val="24"/>
        </w:rPr>
        <w:t xml:space="preserve"> is </w:t>
      </w:r>
      <w:r w:rsidR="00215D3A" w:rsidRPr="005E017C">
        <w:rPr>
          <w:rFonts w:eastAsia="Calibri"/>
          <w:sz w:val="24"/>
          <w:szCs w:val="24"/>
        </w:rPr>
        <w:t xml:space="preserve">equity generated by the sale of </w:t>
      </w:r>
      <w:r w:rsidRPr="005E017C">
        <w:rPr>
          <w:rFonts w:eastAsia="Calibri"/>
          <w:sz w:val="24"/>
          <w:szCs w:val="24"/>
        </w:rPr>
        <w:t>Low-Income Housing Tax Credit</w:t>
      </w:r>
      <w:r w:rsidR="00215D3A" w:rsidRPr="005E017C">
        <w:rPr>
          <w:rFonts w:eastAsia="Calibri"/>
          <w:sz w:val="24"/>
          <w:szCs w:val="24"/>
        </w:rPr>
        <w:t>s</w:t>
      </w:r>
      <w:r w:rsidR="00182677" w:rsidRPr="005E017C">
        <w:rPr>
          <w:rFonts w:eastAsia="Calibri"/>
          <w:sz w:val="24"/>
          <w:szCs w:val="24"/>
        </w:rPr>
        <w:t>,</w:t>
      </w:r>
      <w:r w:rsidRPr="005E017C">
        <w:rPr>
          <w:rFonts w:eastAsia="Calibri"/>
          <w:sz w:val="24"/>
          <w:szCs w:val="24"/>
        </w:rPr>
        <w:t xml:space="preserve"> and banks are the primary investors in these credits. Under the current CRA, banks actively compete with each other to lend to and make tax credit investments in developments within their CRA service areas. They offer increased tax credit pricing and lower loan interest rates, both of which make more affordable housing developments feasible and reduce </w:t>
      </w:r>
      <w:r w:rsidR="00215D3A" w:rsidRPr="005E017C">
        <w:rPr>
          <w:rFonts w:eastAsia="Calibri"/>
          <w:sz w:val="24"/>
          <w:szCs w:val="24"/>
        </w:rPr>
        <w:t xml:space="preserve">the need for </w:t>
      </w:r>
      <w:r w:rsidRPr="005E017C">
        <w:rPr>
          <w:rFonts w:eastAsia="Calibri"/>
          <w:sz w:val="24"/>
          <w:szCs w:val="24"/>
        </w:rPr>
        <w:t xml:space="preserve">public subsidy. </w:t>
      </w:r>
      <w:r w:rsidRPr="005E017C">
        <w:rPr>
          <w:rFonts w:eastAsia="Calibri"/>
          <w:sz w:val="24"/>
          <w:szCs w:val="24"/>
          <w:u w:val="single"/>
        </w:rPr>
        <w:t xml:space="preserve">The current CRA is a great example of law </w:t>
      </w:r>
      <w:r w:rsidR="00182677" w:rsidRPr="005E017C">
        <w:rPr>
          <w:rFonts w:eastAsia="Calibri"/>
          <w:sz w:val="24"/>
          <w:szCs w:val="24"/>
          <w:u w:val="single"/>
        </w:rPr>
        <w:t xml:space="preserve">that incentivizes </w:t>
      </w:r>
      <w:r w:rsidRPr="005E017C">
        <w:rPr>
          <w:rFonts w:eastAsia="Calibri"/>
          <w:sz w:val="24"/>
          <w:szCs w:val="24"/>
          <w:u w:val="single"/>
        </w:rPr>
        <w:t>the private sector to support public needs.</w:t>
      </w:r>
      <w:r w:rsidRPr="005E017C">
        <w:rPr>
          <w:rFonts w:eastAsia="Calibri"/>
          <w:sz w:val="24"/>
          <w:szCs w:val="24"/>
        </w:rPr>
        <w:t xml:space="preserve">  </w:t>
      </w:r>
    </w:p>
    <w:p w14:paraId="3D8ABBD6" w14:textId="77777777" w:rsidR="00825CFB" w:rsidRPr="005E017C" w:rsidRDefault="00825CFB" w:rsidP="00825CFB">
      <w:pPr>
        <w:spacing w:after="0" w:line="240" w:lineRule="auto"/>
        <w:rPr>
          <w:rFonts w:eastAsia="Calibri"/>
          <w:sz w:val="24"/>
          <w:szCs w:val="24"/>
        </w:rPr>
      </w:pPr>
    </w:p>
    <w:p w14:paraId="0E54C501" w14:textId="5B7E1875" w:rsidR="00825CFB" w:rsidRPr="005E017C" w:rsidRDefault="00825CFB" w:rsidP="00825CFB">
      <w:pPr>
        <w:spacing w:after="0" w:line="240" w:lineRule="auto"/>
        <w:rPr>
          <w:rFonts w:eastAsia="Calibri"/>
          <w:sz w:val="24"/>
          <w:szCs w:val="24"/>
        </w:rPr>
      </w:pPr>
      <w:r w:rsidRPr="005E017C">
        <w:rPr>
          <w:rFonts w:eastAsia="Calibri"/>
          <w:sz w:val="24"/>
          <w:szCs w:val="24"/>
        </w:rPr>
        <w:t>The proposed OCC and FDIC changes to CRA regulations will significantly lessen these incentives by giving CRA credit for many new and less beneficial activities</w:t>
      </w:r>
      <w:r w:rsidR="007C31AB" w:rsidRPr="005E017C">
        <w:rPr>
          <w:rFonts w:eastAsia="Calibri"/>
          <w:sz w:val="24"/>
          <w:szCs w:val="24"/>
        </w:rPr>
        <w:t xml:space="preserve"> and by weakening evaluation standards</w:t>
      </w:r>
      <w:r w:rsidRPr="005E017C">
        <w:rPr>
          <w:rFonts w:eastAsia="Calibri"/>
          <w:sz w:val="24"/>
          <w:szCs w:val="24"/>
        </w:rPr>
        <w:t xml:space="preserve">. The result will be less bank investment in affordable housing and therefore </w:t>
      </w:r>
      <w:r w:rsidR="00742BA8" w:rsidRPr="005E017C">
        <w:rPr>
          <w:rFonts w:eastAsia="Calibri"/>
          <w:sz w:val="24"/>
          <w:szCs w:val="24"/>
        </w:rPr>
        <w:t>fewer affordable homes produced at time of great national and state need</w:t>
      </w:r>
      <w:r w:rsidRPr="005E017C">
        <w:rPr>
          <w:rFonts w:eastAsia="Calibri"/>
          <w:sz w:val="24"/>
          <w:szCs w:val="24"/>
        </w:rPr>
        <w:t xml:space="preserve">. </w:t>
      </w:r>
      <w:r w:rsidR="00215D3A" w:rsidRPr="005E017C">
        <w:rPr>
          <w:rFonts w:eastAsia="Calibri"/>
          <w:sz w:val="24"/>
          <w:szCs w:val="24"/>
        </w:rPr>
        <w:t>Approval of the revised regulations</w:t>
      </w:r>
      <w:r w:rsidRPr="005E017C">
        <w:rPr>
          <w:rFonts w:eastAsia="Calibri"/>
          <w:sz w:val="24"/>
          <w:szCs w:val="24"/>
        </w:rPr>
        <w:t xml:space="preserve"> will </w:t>
      </w:r>
      <w:r w:rsidR="00215D3A" w:rsidRPr="005E017C">
        <w:rPr>
          <w:rFonts w:eastAsia="Calibri"/>
          <w:sz w:val="24"/>
          <w:szCs w:val="24"/>
        </w:rPr>
        <w:t>also have the impact of substantially reducing</w:t>
      </w:r>
      <w:r w:rsidRPr="005E017C">
        <w:rPr>
          <w:rFonts w:eastAsia="Calibri"/>
          <w:sz w:val="24"/>
          <w:szCs w:val="24"/>
        </w:rPr>
        <w:t xml:space="preserve"> jobs </w:t>
      </w:r>
      <w:r w:rsidR="00182677" w:rsidRPr="005E017C">
        <w:rPr>
          <w:rFonts w:eastAsia="Calibri"/>
          <w:sz w:val="24"/>
          <w:szCs w:val="24"/>
        </w:rPr>
        <w:t xml:space="preserve">in </w:t>
      </w:r>
      <w:r w:rsidRPr="005E017C">
        <w:rPr>
          <w:rFonts w:eastAsia="Calibri"/>
          <w:sz w:val="24"/>
          <w:szCs w:val="24"/>
        </w:rPr>
        <w:t xml:space="preserve">constructing and operating affordable housing </w:t>
      </w:r>
      <w:r w:rsidR="00182677" w:rsidRPr="005E017C">
        <w:rPr>
          <w:rFonts w:eastAsia="Calibri"/>
          <w:sz w:val="24"/>
          <w:szCs w:val="24"/>
        </w:rPr>
        <w:t xml:space="preserve">for </w:t>
      </w:r>
      <w:r w:rsidRPr="005E017C">
        <w:rPr>
          <w:rFonts w:eastAsia="Calibri"/>
          <w:sz w:val="24"/>
          <w:szCs w:val="24"/>
        </w:rPr>
        <w:t xml:space="preserve">lower-income households </w:t>
      </w:r>
      <w:r w:rsidR="00215D3A" w:rsidRPr="005E017C">
        <w:rPr>
          <w:rFonts w:eastAsia="Calibri"/>
          <w:sz w:val="24"/>
          <w:szCs w:val="24"/>
        </w:rPr>
        <w:t xml:space="preserve">and will reduce economic activity among low-income renters who </w:t>
      </w:r>
      <w:r w:rsidRPr="005E017C">
        <w:rPr>
          <w:rFonts w:eastAsia="Calibri"/>
          <w:sz w:val="24"/>
          <w:szCs w:val="24"/>
        </w:rPr>
        <w:t xml:space="preserve">will have less disposable income to spend on basic needs.   </w:t>
      </w:r>
    </w:p>
    <w:p w14:paraId="6B1AFCAB" w14:textId="055C140D" w:rsidR="00215D3A" w:rsidRPr="005E017C" w:rsidRDefault="00215D3A" w:rsidP="00825CFB">
      <w:pPr>
        <w:spacing w:after="0" w:line="240" w:lineRule="auto"/>
        <w:rPr>
          <w:rFonts w:eastAsia="Calibri"/>
          <w:sz w:val="24"/>
          <w:szCs w:val="24"/>
        </w:rPr>
      </w:pPr>
    </w:p>
    <w:p w14:paraId="3879E7CD" w14:textId="3591E6BF" w:rsidR="00215D3A" w:rsidRPr="005E017C" w:rsidRDefault="00215D3A" w:rsidP="00825CFB">
      <w:pPr>
        <w:spacing w:after="0" w:line="240" w:lineRule="auto"/>
        <w:rPr>
          <w:rFonts w:eastAsia="Calibri"/>
          <w:sz w:val="24"/>
          <w:szCs w:val="24"/>
        </w:rPr>
      </w:pPr>
      <w:r w:rsidRPr="005E017C">
        <w:rPr>
          <w:rFonts w:eastAsia="Calibri"/>
          <w:sz w:val="24"/>
          <w:szCs w:val="24"/>
        </w:rPr>
        <w:t xml:space="preserve">The proposed changes to the CRA regulations will: </w:t>
      </w:r>
    </w:p>
    <w:p w14:paraId="65167D0B" w14:textId="77777777" w:rsidR="00825CFB" w:rsidRPr="005E017C" w:rsidRDefault="00825CFB" w:rsidP="00825CFB">
      <w:pPr>
        <w:spacing w:after="0" w:line="240" w:lineRule="auto"/>
        <w:rPr>
          <w:rFonts w:eastAsia="Calibri"/>
          <w:sz w:val="24"/>
          <w:szCs w:val="24"/>
        </w:rPr>
      </w:pPr>
    </w:p>
    <w:p w14:paraId="2AC80C5A" w14:textId="344CFF61" w:rsidR="00825CFB" w:rsidRPr="005E017C" w:rsidRDefault="00742BA8" w:rsidP="00A3337A">
      <w:pPr>
        <w:pStyle w:val="ListParagraph"/>
        <w:numPr>
          <w:ilvl w:val="0"/>
          <w:numId w:val="8"/>
        </w:numPr>
        <w:spacing w:after="0" w:line="240" w:lineRule="auto"/>
        <w:ind w:left="360"/>
        <w:rPr>
          <w:sz w:val="24"/>
          <w:szCs w:val="24"/>
        </w:rPr>
      </w:pPr>
      <w:r w:rsidRPr="005E017C">
        <w:rPr>
          <w:b/>
          <w:sz w:val="24"/>
          <w:szCs w:val="24"/>
        </w:rPr>
        <w:t>Undermin</w:t>
      </w:r>
      <w:r w:rsidR="00215D3A" w:rsidRPr="005E017C">
        <w:rPr>
          <w:b/>
          <w:sz w:val="24"/>
          <w:szCs w:val="24"/>
        </w:rPr>
        <w:t>e</w:t>
      </w:r>
      <w:r w:rsidR="00825CFB" w:rsidRPr="005E017C">
        <w:rPr>
          <w:b/>
          <w:sz w:val="24"/>
          <w:szCs w:val="24"/>
        </w:rPr>
        <w:t xml:space="preserve"> CRA</w:t>
      </w:r>
      <w:r w:rsidRPr="005E017C">
        <w:rPr>
          <w:b/>
          <w:sz w:val="24"/>
          <w:szCs w:val="24"/>
        </w:rPr>
        <w:t xml:space="preserve">’s </w:t>
      </w:r>
      <w:r w:rsidR="00E72C88" w:rsidRPr="005E017C">
        <w:rPr>
          <w:b/>
          <w:sz w:val="24"/>
          <w:szCs w:val="24"/>
        </w:rPr>
        <w:t>focus on investing in</w:t>
      </w:r>
      <w:r w:rsidR="00825CFB" w:rsidRPr="005E017C">
        <w:rPr>
          <w:b/>
          <w:sz w:val="24"/>
          <w:szCs w:val="24"/>
        </w:rPr>
        <w:t xml:space="preserve"> low- and moderate-income (LMI) communities.</w:t>
      </w:r>
      <w:r w:rsidR="00825CFB" w:rsidRPr="005E017C">
        <w:rPr>
          <w:sz w:val="24"/>
          <w:szCs w:val="24"/>
        </w:rPr>
        <w:t xml:space="preserve"> The proposal would dramatically lessen CRA’s focus on LMI people and communities</w:t>
      </w:r>
      <w:r w:rsidR="00182677" w:rsidRPr="005E017C">
        <w:rPr>
          <w:sz w:val="24"/>
          <w:szCs w:val="24"/>
        </w:rPr>
        <w:t>,</w:t>
      </w:r>
      <w:r w:rsidR="00825CFB" w:rsidRPr="005E017C">
        <w:rPr>
          <w:sz w:val="24"/>
          <w:szCs w:val="24"/>
        </w:rPr>
        <w:t xml:space="preserve"> in contradiction to the intent of the law</w:t>
      </w:r>
      <w:r w:rsidR="00182677" w:rsidRPr="005E017C">
        <w:rPr>
          <w:sz w:val="24"/>
          <w:szCs w:val="24"/>
        </w:rPr>
        <w:t>,</w:t>
      </w:r>
      <w:r w:rsidR="00825CFB" w:rsidRPr="005E017C">
        <w:rPr>
          <w:sz w:val="24"/>
          <w:szCs w:val="24"/>
        </w:rPr>
        <w:t xml:space="preserve"> to meet their financial needs, including addressing redlining and disinvestment from LMI and communities of color. Most distressingly, the proposal would </w:t>
      </w:r>
      <w:r w:rsidRPr="005E017C">
        <w:rPr>
          <w:sz w:val="24"/>
          <w:szCs w:val="24"/>
        </w:rPr>
        <w:t xml:space="preserve">reward making investments </w:t>
      </w:r>
      <w:r w:rsidR="00825CFB" w:rsidRPr="005E017C">
        <w:rPr>
          <w:sz w:val="24"/>
          <w:szCs w:val="24"/>
        </w:rPr>
        <w:t>that only “partially” benefit LMI people and neighborhoods, such as large infrastructure and energy projects and athletic stadiums, storage facilities and luxury housing in Opportunity Zones. Investment in low</w:t>
      </w:r>
      <w:r w:rsidR="005E017C" w:rsidRPr="005E017C">
        <w:rPr>
          <w:sz w:val="24"/>
          <w:szCs w:val="24"/>
        </w:rPr>
        <w:t>-</w:t>
      </w:r>
      <w:r w:rsidR="00825CFB" w:rsidRPr="005E017C">
        <w:rPr>
          <w:sz w:val="24"/>
          <w:szCs w:val="24"/>
        </w:rPr>
        <w:t xml:space="preserve">income </w:t>
      </w:r>
      <w:r w:rsidR="00825CFB" w:rsidRPr="005E017C">
        <w:rPr>
          <w:sz w:val="24"/>
          <w:szCs w:val="24"/>
        </w:rPr>
        <w:lastRenderedPageBreak/>
        <w:t>people, entrepreneurs, small businesses, small farms and affordable housing will all be less attractive.</w:t>
      </w:r>
    </w:p>
    <w:p w14:paraId="65AA77E4" w14:textId="77777777" w:rsidR="00825CFB" w:rsidRPr="005E017C" w:rsidRDefault="00825CFB">
      <w:pPr>
        <w:spacing w:after="0" w:line="240" w:lineRule="auto"/>
        <w:rPr>
          <w:rFonts w:eastAsia="Calibri"/>
          <w:sz w:val="24"/>
          <w:szCs w:val="24"/>
        </w:rPr>
      </w:pPr>
    </w:p>
    <w:p w14:paraId="57C64450" w14:textId="05BDE4DD" w:rsidR="00825CFB" w:rsidRPr="005E017C" w:rsidRDefault="00215D3A" w:rsidP="00A3337A">
      <w:pPr>
        <w:pStyle w:val="ListParagraph"/>
        <w:numPr>
          <w:ilvl w:val="0"/>
          <w:numId w:val="8"/>
        </w:numPr>
        <w:spacing w:after="0" w:line="240" w:lineRule="auto"/>
        <w:ind w:left="360"/>
        <w:rPr>
          <w:sz w:val="24"/>
          <w:szCs w:val="24"/>
          <w:u w:val="single"/>
        </w:rPr>
      </w:pPr>
      <w:r w:rsidRPr="005E017C">
        <w:rPr>
          <w:b/>
          <w:sz w:val="24"/>
          <w:szCs w:val="24"/>
        </w:rPr>
        <w:t>Weaken the</w:t>
      </w:r>
      <w:r w:rsidR="00825CFB" w:rsidRPr="005E017C">
        <w:rPr>
          <w:b/>
          <w:sz w:val="24"/>
          <w:szCs w:val="24"/>
        </w:rPr>
        <w:t xml:space="preserve"> definition of affordable housing.</w:t>
      </w:r>
      <w:r w:rsidR="00825CFB" w:rsidRPr="005E017C">
        <w:rPr>
          <w:sz w:val="24"/>
          <w:szCs w:val="24"/>
        </w:rPr>
        <w:t xml:space="preserve"> The </w:t>
      </w:r>
      <w:r w:rsidR="002778C9" w:rsidRPr="005E017C">
        <w:rPr>
          <w:sz w:val="24"/>
          <w:szCs w:val="24"/>
        </w:rPr>
        <w:t xml:space="preserve">OCC and FDIC propose to expand the </w:t>
      </w:r>
      <w:r w:rsidR="00825CFB" w:rsidRPr="005E017C">
        <w:rPr>
          <w:sz w:val="24"/>
          <w:szCs w:val="24"/>
        </w:rPr>
        <w:t xml:space="preserve">definition of affordable housing to include middle-income housing (incomes up to 120% of area median income) in high-cost areas. </w:t>
      </w:r>
      <w:r w:rsidR="005E017C" w:rsidRPr="005E017C">
        <w:rPr>
          <w:sz w:val="24"/>
          <w:szCs w:val="24"/>
        </w:rPr>
        <w:t>The California Housing Partnership’s r</w:t>
      </w:r>
      <w:r w:rsidR="00825CFB" w:rsidRPr="005E017C">
        <w:rPr>
          <w:sz w:val="24"/>
          <w:szCs w:val="24"/>
        </w:rPr>
        <w:t xml:space="preserve">ecent policy brief entitled </w:t>
      </w:r>
      <w:hyperlink r:id="rId10" w:history="1">
        <w:r w:rsidR="00825CFB" w:rsidRPr="005E017C">
          <w:rPr>
            <w:color w:val="0563C1"/>
            <w:sz w:val="24"/>
            <w:szCs w:val="24"/>
            <w:u w:val="single"/>
          </w:rPr>
          <w:t>Who Can Afford to Rent in California’s Many Regions</w:t>
        </w:r>
      </w:hyperlink>
      <w:r w:rsidR="00825CFB" w:rsidRPr="005E017C">
        <w:rPr>
          <w:sz w:val="24"/>
          <w:szCs w:val="24"/>
        </w:rPr>
        <w:t xml:space="preserve"> finds that only 4% of median income households (which at 100% AMI earn significantly less than the proposed 120% AMI threshold) in California are severely cost burdened, as opposed to 50% of very low-income households and 76% of extremely low-income households. In addition, the proposal would count </w:t>
      </w:r>
      <w:r w:rsidR="00182677" w:rsidRPr="005E017C">
        <w:rPr>
          <w:sz w:val="24"/>
          <w:szCs w:val="24"/>
        </w:rPr>
        <w:t xml:space="preserve">non-income restricted </w:t>
      </w:r>
      <w:r w:rsidR="00825CFB" w:rsidRPr="005E017C">
        <w:rPr>
          <w:sz w:val="24"/>
          <w:szCs w:val="24"/>
        </w:rPr>
        <w:t xml:space="preserve">rental housing as affordable housing </w:t>
      </w:r>
      <w:r w:rsidR="002778C9" w:rsidRPr="005E017C">
        <w:rPr>
          <w:sz w:val="24"/>
          <w:szCs w:val="24"/>
        </w:rPr>
        <w:t xml:space="preserve">and give CRA credit for its construction </w:t>
      </w:r>
      <w:r w:rsidR="00825CFB" w:rsidRPr="005E017C">
        <w:rPr>
          <w:sz w:val="24"/>
          <w:szCs w:val="24"/>
        </w:rPr>
        <w:t xml:space="preserve">if LMI people could </w:t>
      </w:r>
      <w:r w:rsidR="002778C9" w:rsidRPr="005E017C">
        <w:rPr>
          <w:i/>
          <w:iCs/>
          <w:sz w:val="24"/>
          <w:szCs w:val="24"/>
        </w:rPr>
        <w:t xml:space="preserve">theoretically </w:t>
      </w:r>
      <w:r w:rsidR="00825CFB" w:rsidRPr="005E017C">
        <w:rPr>
          <w:i/>
          <w:iCs/>
          <w:sz w:val="24"/>
          <w:szCs w:val="24"/>
        </w:rPr>
        <w:t>afford</w:t>
      </w:r>
      <w:r w:rsidR="00825CFB" w:rsidRPr="005E017C">
        <w:rPr>
          <w:sz w:val="24"/>
          <w:szCs w:val="24"/>
        </w:rPr>
        <w:t xml:space="preserve"> to pay the rent even if the actual </w:t>
      </w:r>
      <w:r w:rsidR="002778C9" w:rsidRPr="005E017C">
        <w:rPr>
          <w:sz w:val="24"/>
          <w:szCs w:val="24"/>
        </w:rPr>
        <w:t xml:space="preserve">occupants </w:t>
      </w:r>
      <w:r w:rsidR="00825CFB" w:rsidRPr="005E017C">
        <w:rPr>
          <w:sz w:val="24"/>
          <w:szCs w:val="24"/>
        </w:rPr>
        <w:t xml:space="preserve">are not low or moderate income. </w:t>
      </w:r>
      <w:r w:rsidR="00825CFB" w:rsidRPr="005E017C">
        <w:rPr>
          <w:sz w:val="24"/>
          <w:szCs w:val="24"/>
          <w:u w:val="single"/>
        </w:rPr>
        <w:t>We strongly urge the OCC and FDIC to keep the focus of affordable housing on households earning less than 80% of AMI</w:t>
      </w:r>
      <w:r w:rsidR="002778C9" w:rsidRPr="005E017C">
        <w:rPr>
          <w:sz w:val="24"/>
          <w:szCs w:val="24"/>
          <w:u w:val="single"/>
        </w:rPr>
        <w:t xml:space="preserve"> – and particularly on those earning less than 50% of AMI and 30% of AMI</w:t>
      </w:r>
      <w:r w:rsidR="00825CFB" w:rsidRPr="005E017C">
        <w:rPr>
          <w:sz w:val="24"/>
          <w:szCs w:val="24"/>
          <w:u w:val="single"/>
        </w:rPr>
        <w:t>, who have by far the greatest needs</w:t>
      </w:r>
      <w:r w:rsidR="002778C9" w:rsidRPr="005E017C">
        <w:rPr>
          <w:sz w:val="24"/>
          <w:szCs w:val="24"/>
          <w:u w:val="single"/>
        </w:rPr>
        <w:t xml:space="preserve"> and are most likely to become homeless</w:t>
      </w:r>
      <w:r w:rsidR="00825CFB" w:rsidRPr="005E017C">
        <w:rPr>
          <w:sz w:val="24"/>
          <w:szCs w:val="24"/>
          <w:u w:val="single"/>
        </w:rPr>
        <w:t>.</w:t>
      </w:r>
    </w:p>
    <w:p w14:paraId="6C378CC6" w14:textId="77777777" w:rsidR="00825CFB" w:rsidRPr="005E017C" w:rsidRDefault="00825CFB">
      <w:pPr>
        <w:spacing w:after="0" w:line="240" w:lineRule="auto"/>
        <w:rPr>
          <w:rFonts w:eastAsia="Calibri"/>
          <w:sz w:val="24"/>
          <w:szCs w:val="24"/>
        </w:rPr>
      </w:pPr>
    </w:p>
    <w:p w14:paraId="2A206E5C" w14:textId="228DC8C1" w:rsidR="00825CFB" w:rsidRPr="005E017C" w:rsidRDefault="002778C9" w:rsidP="00A3337A">
      <w:pPr>
        <w:pStyle w:val="ListParagraph"/>
        <w:numPr>
          <w:ilvl w:val="0"/>
          <w:numId w:val="8"/>
        </w:numPr>
        <w:spacing w:after="0" w:line="240" w:lineRule="auto"/>
        <w:ind w:left="360"/>
        <w:rPr>
          <w:sz w:val="24"/>
          <w:szCs w:val="24"/>
        </w:rPr>
      </w:pPr>
      <w:r w:rsidRPr="005E017C">
        <w:rPr>
          <w:b/>
          <w:sz w:val="24"/>
          <w:szCs w:val="24"/>
        </w:rPr>
        <w:t xml:space="preserve">Undermine </w:t>
      </w:r>
      <w:r w:rsidR="00C16B8B" w:rsidRPr="005E017C">
        <w:rPr>
          <w:b/>
          <w:sz w:val="24"/>
          <w:szCs w:val="24"/>
        </w:rPr>
        <w:t>the</w:t>
      </w:r>
      <w:r w:rsidR="00825CFB" w:rsidRPr="005E017C">
        <w:rPr>
          <w:b/>
          <w:sz w:val="24"/>
          <w:szCs w:val="24"/>
        </w:rPr>
        <w:t xml:space="preserve"> evaluation system</w:t>
      </w:r>
      <w:r w:rsidR="00C16B8B" w:rsidRPr="005E017C">
        <w:rPr>
          <w:b/>
          <w:sz w:val="24"/>
          <w:szCs w:val="24"/>
        </w:rPr>
        <w:t xml:space="preserve"> to the point where banks can ignore it</w:t>
      </w:r>
      <w:r w:rsidR="00825CFB" w:rsidRPr="005E017C">
        <w:rPr>
          <w:b/>
          <w:sz w:val="24"/>
          <w:szCs w:val="24"/>
        </w:rPr>
        <w:t>.</w:t>
      </w:r>
      <w:r w:rsidR="00825CFB" w:rsidRPr="005E017C">
        <w:rPr>
          <w:sz w:val="24"/>
          <w:szCs w:val="24"/>
        </w:rPr>
        <w:t xml:space="preserve"> The agencies </w:t>
      </w:r>
      <w:r w:rsidR="00C57B51" w:rsidRPr="005E017C">
        <w:rPr>
          <w:sz w:val="24"/>
          <w:szCs w:val="24"/>
        </w:rPr>
        <w:t xml:space="preserve">are proposing </w:t>
      </w:r>
      <w:r w:rsidR="00825CFB" w:rsidRPr="005E017C">
        <w:rPr>
          <w:sz w:val="24"/>
          <w:szCs w:val="24"/>
        </w:rPr>
        <w:t>an evaluation system that would further inflate CRA ratings</w:t>
      </w:r>
      <w:r w:rsidRPr="005E017C">
        <w:rPr>
          <w:sz w:val="24"/>
          <w:szCs w:val="24"/>
        </w:rPr>
        <w:t xml:space="preserve"> to the point where they would become meaningless</w:t>
      </w:r>
      <w:r w:rsidR="00825CFB" w:rsidRPr="005E017C">
        <w:rPr>
          <w:sz w:val="24"/>
          <w:szCs w:val="24"/>
        </w:rPr>
        <w:t xml:space="preserve">. </w:t>
      </w:r>
      <w:r w:rsidRPr="005E017C">
        <w:rPr>
          <w:sz w:val="24"/>
          <w:szCs w:val="24"/>
        </w:rPr>
        <w:t>Currently</w:t>
      </w:r>
      <w:r w:rsidR="00825CFB" w:rsidRPr="005E017C">
        <w:rPr>
          <w:sz w:val="24"/>
          <w:szCs w:val="24"/>
        </w:rPr>
        <w:t xml:space="preserve">, 98% of banks pass CRA exams; the proposal would likely push this higher by lowering the bar for a satisfactory rating. The agencies propose a version of the one ratio measure that consists of the dollar amount of CRA activities divided by deposits. This approach is made even more bank-friendly by not only dramatically increasing the </w:t>
      </w:r>
      <w:r w:rsidRPr="005E017C">
        <w:rPr>
          <w:sz w:val="24"/>
          <w:szCs w:val="24"/>
        </w:rPr>
        <w:t xml:space="preserve">scope of the </w:t>
      </w:r>
      <w:r w:rsidR="00825CFB" w:rsidRPr="005E017C">
        <w:rPr>
          <w:sz w:val="24"/>
          <w:szCs w:val="24"/>
        </w:rPr>
        <w:t xml:space="preserve">activities and the places banks can receive credit (increasing the numerator), but at the same time also decreasing what are considered deposits by excluding brokered and municipal deposits (shrinking the denominator). </w:t>
      </w:r>
    </w:p>
    <w:p w14:paraId="39367E96" w14:textId="77777777" w:rsidR="00825CFB" w:rsidRPr="005E017C" w:rsidRDefault="00825CFB" w:rsidP="00825CFB">
      <w:pPr>
        <w:spacing w:after="0" w:line="240" w:lineRule="auto"/>
        <w:rPr>
          <w:rFonts w:eastAsia="Calibri"/>
          <w:sz w:val="24"/>
          <w:szCs w:val="24"/>
        </w:rPr>
      </w:pPr>
    </w:p>
    <w:p w14:paraId="45214BE4" w14:textId="15751035" w:rsidR="00E627A1" w:rsidRPr="005E017C" w:rsidRDefault="002778C9" w:rsidP="00A3337A">
      <w:pPr>
        <w:spacing w:after="0" w:line="240" w:lineRule="auto"/>
        <w:ind w:left="360"/>
        <w:rPr>
          <w:rFonts w:eastAsia="Calibri"/>
          <w:sz w:val="24"/>
          <w:szCs w:val="24"/>
        </w:rPr>
      </w:pPr>
      <w:r w:rsidRPr="005E017C">
        <w:rPr>
          <w:rFonts w:eastAsia="Calibri"/>
          <w:sz w:val="24"/>
          <w:szCs w:val="24"/>
        </w:rPr>
        <w:t>B</w:t>
      </w:r>
      <w:r w:rsidR="00825CFB" w:rsidRPr="005E017C">
        <w:rPr>
          <w:rFonts w:eastAsia="Calibri"/>
          <w:sz w:val="24"/>
          <w:szCs w:val="24"/>
        </w:rPr>
        <w:t xml:space="preserve">anks will have </w:t>
      </w:r>
      <w:r w:rsidRPr="005E017C">
        <w:rPr>
          <w:rFonts w:eastAsia="Calibri"/>
          <w:sz w:val="24"/>
          <w:szCs w:val="24"/>
        </w:rPr>
        <w:t xml:space="preserve">much </w:t>
      </w:r>
      <w:r w:rsidR="00825CFB" w:rsidRPr="005E017C">
        <w:rPr>
          <w:rFonts w:eastAsia="Calibri"/>
          <w:sz w:val="24"/>
          <w:szCs w:val="24"/>
        </w:rPr>
        <w:t xml:space="preserve">less incentive to </w:t>
      </w:r>
      <w:r w:rsidRPr="005E017C">
        <w:rPr>
          <w:rFonts w:eastAsia="Calibri"/>
          <w:sz w:val="24"/>
          <w:szCs w:val="24"/>
        </w:rPr>
        <w:t xml:space="preserve">invest in </w:t>
      </w:r>
      <w:r w:rsidR="00825CFB" w:rsidRPr="005E017C">
        <w:rPr>
          <w:rFonts w:eastAsia="Calibri"/>
          <w:sz w:val="24"/>
          <w:szCs w:val="24"/>
        </w:rPr>
        <w:t>Low</w:t>
      </w:r>
      <w:r w:rsidR="005E017C" w:rsidRPr="005E017C">
        <w:rPr>
          <w:rFonts w:eastAsia="Calibri"/>
          <w:sz w:val="24"/>
          <w:szCs w:val="24"/>
        </w:rPr>
        <w:t>-</w:t>
      </w:r>
      <w:r w:rsidR="00825CFB" w:rsidRPr="005E017C">
        <w:rPr>
          <w:rFonts w:eastAsia="Calibri"/>
          <w:sz w:val="24"/>
          <w:szCs w:val="24"/>
        </w:rPr>
        <w:t xml:space="preserve">Income Housing Tax Credit investments </w:t>
      </w:r>
      <w:r w:rsidR="00E627A1" w:rsidRPr="005E017C">
        <w:rPr>
          <w:rFonts w:eastAsia="Calibri"/>
          <w:sz w:val="24"/>
          <w:szCs w:val="24"/>
        </w:rPr>
        <w:t xml:space="preserve">and make low-interest construction and permanent loans for affordable housing </w:t>
      </w:r>
      <w:r w:rsidR="00825CFB" w:rsidRPr="005E017C">
        <w:rPr>
          <w:rFonts w:eastAsia="Calibri"/>
          <w:sz w:val="24"/>
          <w:szCs w:val="24"/>
        </w:rPr>
        <w:t>because they will need less CRA investment overall and the proposed regulations count easier investment with less public benefit.</w:t>
      </w:r>
      <w:r w:rsidRPr="005E017C">
        <w:rPr>
          <w:rFonts w:eastAsia="Calibri"/>
          <w:sz w:val="24"/>
          <w:szCs w:val="24"/>
        </w:rPr>
        <w:t xml:space="preserve"> For example, b</w:t>
      </w:r>
      <w:r w:rsidR="00825CFB" w:rsidRPr="005E017C">
        <w:rPr>
          <w:rFonts w:eastAsia="Calibri"/>
          <w:sz w:val="24"/>
          <w:szCs w:val="24"/>
        </w:rPr>
        <w:t xml:space="preserve">anks </w:t>
      </w:r>
      <w:r w:rsidRPr="005E017C">
        <w:rPr>
          <w:rFonts w:eastAsia="Calibri"/>
          <w:sz w:val="24"/>
          <w:szCs w:val="24"/>
        </w:rPr>
        <w:t xml:space="preserve">will </w:t>
      </w:r>
      <w:r w:rsidR="00825CFB" w:rsidRPr="005E017C">
        <w:rPr>
          <w:rFonts w:eastAsia="Calibri"/>
          <w:sz w:val="24"/>
          <w:szCs w:val="24"/>
        </w:rPr>
        <w:t xml:space="preserve">be able to achieve Outstanding ratings </w:t>
      </w:r>
      <w:r w:rsidR="00F04097" w:rsidRPr="005E017C">
        <w:rPr>
          <w:rFonts w:eastAsia="Calibri"/>
          <w:sz w:val="24"/>
          <w:szCs w:val="24"/>
        </w:rPr>
        <w:t>by investing in</w:t>
      </w:r>
      <w:r w:rsidR="00825CFB" w:rsidRPr="005E017C">
        <w:rPr>
          <w:rFonts w:eastAsia="Calibri"/>
          <w:sz w:val="24"/>
          <w:szCs w:val="24"/>
        </w:rPr>
        <w:t xml:space="preserve"> subprime credit card lending</w:t>
      </w:r>
      <w:r w:rsidR="00E627A1" w:rsidRPr="005E017C">
        <w:rPr>
          <w:rFonts w:eastAsia="Calibri"/>
          <w:sz w:val="24"/>
          <w:szCs w:val="24"/>
        </w:rPr>
        <w:t xml:space="preserve">, </w:t>
      </w:r>
      <w:r w:rsidR="00F04097" w:rsidRPr="005E017C">
        <w:rPr>
          <w:rFonts w:eastAsia="Calibri"/>
          <w:sz w:val="24"/>
          <w:szCs w:val="24"/>
        </w:rPr>
        <w:t>large infrastructure and energy projects</w:t>
      </w:r>
      <w:r w:rsidR="00C57B51" w:rsidRPr="005E017C">
        <w:rPr>
          <w:rFonts w:eastAsia="Calibri"/>
          <w:sz w:val="24"/>
          <w:szCs w:val="24"/>
        </w:rPr>
        <w:t xml:space="preserve">, </w:t>
      </w:r>
      <w:r w:rsidR="00F04097" w:rsidRPr="005E017C">
        <w:rPr>
          <w:rFonts w:eastAsia="Calibri"/>
          <w:sz w:val="24"/>
          <w:szCs w:val="24"/>
        </w:rPr>
        <w:t xml:space="preserve">athletic stadiums, storage facilities and luxury housing </w:t>
      </w:r>
      <w:r w:rsidR="005E3C11" w:rsidRPr="005E017C">
        <w:rPr>
          <w:rFonts w:eastAsia="Calibri"/>
          <w:sz w:val="24"/>
          <w:szCs w:val="24"/>
        </w:rPr>
        <w:t xml:space="preserve">as long as they are </w:t>
      </w:r>
      <w:r w:rsidR="00F04097" w:rsidRPr="005E017C">
        <w:rPr>
          <w:rFonts w:eastAsia="Calibri"/>
          <w:sz w:val="24"/>
          <w:szCs w:val="24"/>
        </w:rPr>
        <w:t xml:space="preserve">in Opportunity Zones, </w:t>
      </w:r>
      <w:r w:rsidR="00825CFB" w:rsidRPr="005E017C">
        <w:rPr>
          <w:rFonts w:eastAsia="Calibri"/>
          <w:sz w:val="24"/>
          <w:szCs w:val="24"/>
        </w:rPr>
        <w:t xml:space="preserve">even if </w:t>
      </w:r>
      <w:r w:rsidR="00F04097" w:rsidRPr="005E017C">
        <w:rPr>
          <w:rFonts w:eastAsia="Calibri"/>
          <w:sz w:val="24"/>
          <w:szCs w:val="24"/>
        </w:rPr>
        <w:t>those</w:t>
      </w:r>
      <w:r w:rsidR="00E627A1" w:rsidRPr="005E017C">
        <w:rPr>
          <w:rFonts w:eastAsia="Calibri"/>
          <w:sz w:val="24"/>
          <w:szCs w:val="24"/>
        </w:rPr>
        <w:t xml:space="preserve"> activit</w:t>
      </w:r>
      <w:r w:rsidR="00F04097" w:rsidRPr="005E017C">
        <w:rPr>
          <w:rFonts w:eastAsia="Calibri"/>
          <w:sz w:val="24"/>
          <w:szCs w:val="24"/>
        </w:rPr>
        <w:t>ies</w:t>
      </w:r>
      <w:r w:rsidR="00E627A1" w:rsidRPr="005E017C">
        <w:rPr>
          <w:rFonts w:eastAsia="Calibri"/>
          <w:sz w:val="24"/>
          <w:szCs w:val="24"/>
        </w:rPr>
        <w:t xml:space="preserve"> ha</w:t>
      </w:r>
      <w:r w:rsidR="00F04097" w:rsidRPr="005E017C">
        <w:rPr>
          <w:rFonts w:eastAsia="Calibri"/>
          <w:sz w:val="24"/>
          <w:szCs w:val="24"/>
        </w:rPr>
        <w:t>ve</w:t>
      </w:r>
      <w:r w:rsidR="00E627A1" w:rsidRPr="005E017C">
        <w:rPr>
          <w:rFonts w:eastAsia="Calibri"/>
          <w:sz w:val="24"/>
          <w:szCs w:val="24"/>
        </w:rPr>
        <w:t xml:space="preserve"> no proven benefit to </w:t>
      </w:r>
      <w:r w:rsidR="00825CFB" w:rsidRPr="005E017C">
        <w:rPr>
          <w:rFonts w:eastAsia="Calibri"/>
          <w:sz w:val="24"/>
          <w:szCs w:val="24"/>
        </w:rPr>
        <w:t xml:space="preserve">LMI </w:t>
      </w:r>
      <w:r w:rsidR="00E627A1" w:rsidRPr="005E017C">
        <w:rPr>
          <w:rFonts w:eastAsia="Calibri"/>
          <w:sz w:val="24"/>
          <w:szCs w:val="24"/>
        </w:rPr>
        <w:t>communities</w:t>
      </w:r>
      <w:r w:rsidR="00825CFB" w:rsidRPr="005E017C">
        <w:rPr>
          <w:rFonts w:eastAsia="Calibri"/>
          <w:sz w:val="24"/>
          <w:szCs w:val="24"/>
        </w:rPr>
        <w:t xml:space="preserve">. </w:t>
      </w:r>
    </w:p>
    <w:p w14:paraId="7CEE8900" w14:textId="77777777" w:rsidR="00825CFB" w:rsidRPr="005E017C" w:rsidRDefault="00825CFB" w:rsidP="00A3337A">
      <w:pPr>
        <w:spacing w:after="0" w:line="240" w:lineRule="auto"/>
        <w:ind w:left="360"/>
        <w:rPr>
          <w:rFonts w:eastAsia="Calibri"/>
          <w:sz w:val="24"/>
          <w:szCs w:val="24"/>
        </w:rPr>
      </w:pPr>
    </w:p>
    <w:p w14:paraId="660ACBA5" w14:textId="77777777" w:rsidR="00825CFB" w:rsidRPr="005E017C" w:rsidRDefault="00825CFB" w:rsidP="00A3337A">
      <w:pPr>
        <w:spacing w:after="0" w:line="240" w:lineRule="auto"/>
        <w:ind w:left="360"/>
        <w:rPr>
          <w:rFonts w:eastAsia="Calibri"/>
          <w:sz w:val="24"/>
          <w:szCs w:val="24"/>
        </w:rPr>
      </w:pPr>
      <w:r w:rsidRPr="005E017C">
        <w:rPr>
          <w:rFonts w:eastAsia="Calibri"/>
          <w:sz w:val="24"/>
          <w:szCs w:val="24"/>
        </w:rPr>
        <w:t>The agencies also propose to allow banks that receive Outstanding ratings to be subject to exams every five years instead of the current two to three years. This aspect of the proposal deviates from the agencies’ statutory duties to ensure banks are continuing to respond to community needs. Banks with a five-year exam cycle would likely relax their efforts in the early years of the cycle. Banks would also have less accountability to maintaining acceptable CRA performance when they seek permission to merge with other banks.</w:t>
      </w:r>
    </w:p>
    <w:p w14:paraId="47336284" w14:textId="77777777" w:rsidR="00825CFB" w:rsidRPr="005E017C" w:rsidRDefault="00825CFB" w:rsidP="00A3337A">
      <w:pPr>
        <w:spacing w:after="0" w:line="240" w:lineRule="auto"/>
        <w:ind w:left="360"/>
        <w:rPr>
          <w:rFonts w:eastAsia="Calibri"/>
          <w:sz w:val="24"/>
          <w:szCs w:val="24"/>
        </w:rPr>
      </w:pPr>
    </w:p>
    <w:p w14:paraId="1957392C" w14:textId="3664DB3E" w:rsidR="00825CFB" w:rsidRPr="005E017C" w:rsidRDefault="00825CFB" w:rsidP="00A3337A">
      <w:pPr>
        <w:pStyle w:val="ListParagraph"/>
        <w:numPr>
          <w:ilvl w:val="0"/>
          <w:numId w:val="8"/>
        </w:numPr>
        <w:spacing w:after="0" w:line="240" w:lineRule="auto"/>
        <w:ind w:left="360"/>
        <w:rPr>
          <w:sz w:val="24"/>
          <w:szCs w:val="24"/>
        </w:rPr>
      </w:pPr>
      <w:r w:rsidRPr="005E017C">
        <w:rPr>
          <w:b/>
          <w:sz w:val="24"/>
          <w:szCs w:val="24"/>
        </w:rPr>
        <w:t>Invit</w:t>
      </w:r>
      <w:r w:rsidR="00E627A1" w:rsidRPr="005E017C">
        <w:rPr>
          <w:b/>
          <w:sz w:val="24"/>
          <w:szCs w:val="24"/>
        </w:rPr>
        <w:t>e</w:t>
      </w:r>
      <w:r w:rsidRPr="005E017C">
        <w:rPr>
          <w:b/>
          <w:sz w:val="24"/>
          <w:szCs w:val="24"/>
        </w:rPr>
        <w:t xml:space="preserve"> regulatory arbitrage.</w:t>
      </w:r>
      <w:r w:rsidRPr="005E017C">
        <w:rPr>
          <w:sz w:val="24"/>
          <w:szCs w:val="24"/>
        </w:rPr>
        <w:t xml:space="preserve"> </w:t>
      </w:r>
      <w:r w:rsidR="0091077E" w:rsidRPr="005E017C">
        <w:rPr>
          <w:sz w:val="24"/>
          <w:szCs w:val="24"/>
        </w:rPr>
        <w:t>Under the proposed changes, b</w:t>
      </w:r>
      <w:r w:rsidRPr="005E017C">
        <w:rPr>
          <w:sz w:val="24"/>
          <w:szCs w:val="24"/>
        </w:rPr>
        <w:t xml:space="preserve">anks will be able to choose their regulator based on which </w:t>
      </w:r>
      <w:r w:rsidR="0091077E" w:rsidRPr="005E017C">
        <w:rPr>
          <w:sz w:val="24"/>
          <w:szCs w:val="24"/>
        </w:rPr>
        <w:t xml:space="preserve">one </w:t>
      </w:r>
      <w:r w:rsidRPr="005E017C">
        <w:rPr>
          <w:sz w:val="24"/>
          <w:szCs w:val="24"/>
        </w:rPr>
        <w:t xml:space="preserve">provides a friendlier CRA framework. </w:t>
      </w:r>
      <w:r w:rsidR="0091077E" w:rsidRPr="005E017C">
        <w:rPr>
          <w:sz w:val="24"/>
          <w:szCs w:val="24"/>
        </w:rPr>
        <w:t>S</w:t>
      </w:r>
      <w:r w:rsidRPr="005E017C">
        <w:rPr>
          <w:sz w:val="24"/>
          <w:szCs w:val="24"/>
        </w:rPr>
        <w:t xml:space="preserve">mall banks under $500 </w:t>
      </w:r>
      <w:r w:rsidRPr="005E017C">
        <w:rPr>
          <w:sz w:val="24"/>
          <w:szCs w:val="24"/>
        </w:rPr>
        <w:lastRenderedPageBreak/>
        <w:t xml:space="preserve">million in assets </w:t>
      </w:r>
      <w:r w:rsidR="0091077E" w:rsidRPr="005E017C">
        <w:rPr>
          <w:sz w:val="24"/>
          <w:szCs w:val="24"/>
        </w:rPr>
        <w:t xml:space="preserve">will be able to </w:t>
      </w:r>
      <w:r w:rsidRPr="005E017C">
        <w:rPr>
          <w:sz w:val="24"/>
          <w:szCs w:val="24"/>
        </w:rPr>
        <w:t xml:space="preserve">opt out of the new rules </w:t>
      </w:r>
      <w:r w:rsidR="0091077E" w:rsidRPr="005E017C">
        <w:rPr>
          <w:sz w:val="24"/>
          <w:szCs w:val="24"/>
        </w:rPr>
        <w:t>and</w:t>
      </w:r>
      <w:r w:rsidRPr="005E017C">
        <w:rPr>
          <w:sz w:val="24"/>
          <w:szCs w:val="24"/>
        </w:rPr>
        <w:t xml:space="preserve"> lower their reinvestment obligations. All banks, especially large banks, should have the same, strong, reinvestment obligations. When regulators choose different rules, and banks can choose their regulators, communities lose. </w:t>
      </w:r>
    </w:p>
    <w:p w14:paraId="423910F2" w14:textId="77777777" w:rsidR="00825CFB" w:rsidRPr="005E017C" w:rsidRDefault="00825CFB" w:rsidP="00825CFB">
      <w:pPr>
        <w:spacing w:after="0" w:line="240" w:lineRule="auto"/>
        <w:rPr>
          <w:rFonts w:eastAsia="Calibri"/>
          <w:sz w:val="24"/>
          <w:szCs w:val="24"/>
        </w:rPr>
      </w:pPr>
    </w:p>
    <w:p w14:paraId="224BE417" w14:textId="1B63E147" w:rsidR="00825CFB" w:rsidRPr="005E017C" w:rsidRDefault="00825CFB" w:rsidP="00825CFB">
      <w:pPr>
        <w:spacing w:after="0" w:line="240" w:lineRule="auto"/>
        <w:rPr>
          <w:rFonts w:eastAsia="Calibri"/>
          <w:sz w:val="24"/>
          <w:szCs w:val="24"/>
        </w:rPr>
      </w:pPr>
      <w:r w:rsidRPr="005E017C">
        <w:rPr>
          <w:rFonts w:eastAsia="Calibri"/>
          <w:b/>
          <w:bCs/>
          <w:sz w:val="24"/>
          <w:szCs w:val="24"/>
        </w:rPr>
        <w:t>Conclusion.</w:t>
      </w:r>
      <w:r w:rsidRPr="005E017C">
        <w:rPr>
          <w:rFonts w:eastAsia="Calibri"/>
          <w:sz w:val="24"/>
          <w:szCs w:val="24"/>
        </w:rPr>
        <w:t xml:space="preserve"> This deeply flawed proposal would result in </w:t>
      </w:r>
      <w:r w:rsidR="00E627A1" w:rsidRPr="005E017C">
        <w:rPr>
          <w:rFonts w:eastAsia="Calibri"/>
          <w:sz w:val="24"/>
          <w:szCs w:val="24"/>
        </w:rPr>
        <w:t xml:space="preserve">substantially </w:t>
      </w:r>
      <w:r w:rsidRPr="005E017C">
        <w:rPr>
          <w:rFonts w:eastAsia="Calibri"/>
          <w:sz w:val="24"/>
          <w:szCs w:val="24"/>
        </w:rPr>
        <w:t xml:space="preserve">LESS lending and investment </w:t>
      </w:r>
      <w:r w:rsidR="00E627A1" w:rsidRPr="005E017C">
        <w:rPr>
          <w:rFonts w:eastAsia="Calibri"/>
          <w:sz w:val="24"/>
          <w:szCs w:val="24"/>
        </w:rPr>
        <w:t xml:space="preserve">– particularly in affordable housing </w:t>
      </w:r>
      <w:r w:rsidR="00F04097" w:rsidRPr="005E017C">
        <w:rPr>
          <w:rFonts w:eastAsia="Calibri"/>
          <w:sz w:val="24"/>
          <w:szCs w:val="24"/>
        </w:rPr>
        <w:t xml:space="preserve">– </w:t>
      </w:r>
      <w:r w:rsidRPr="005E017C">
        <w:rPr>
          <w:rFonts w:eastAsia="Calibri"/>
          <w:sz w:val="24"/>
          <w:szCs w:val="24"/>
        </w:rPr>
        <w:t xml:space="preserve">in the very communities that were the focus of CRA when </w:t>
      </w:r>
      <w:r w:rsidR="005E3C11" w:rsidRPr="005E017C">
        <w:rPr>
          <w:rFonts w:eastAsia="Calibri"/>
          <w:sz w:val="24"/>
          <w:szCs w:val="24"/>
        </w:rPr>
        <w:t xml:space="preserve">it was </w:t>
      </w:r>
      <w:r w:rsidRPr="005E017C">
        <w:rPr>
          <w:rFonts w:eastAsia="Calibri"/>
          <w:sz w:val="24"/>
          <w:szCs w:val="24"/>
        </w:rPr>
        <w:t xml:space="preserve">passed by Congress in 1977. We strongly urge the OCC and FDIC to withdraw this proposal and maintain the benefits of the current CRA regulations.  </w:t>
      </w:r>
    </w:p>
    <w:p w14:paraId="547A0778" w14:textId="77777777" w:rsidR="00825CFB" w:rsidRPr="005E017C" w:rsidRDefault="00825CFB" w:rsidP="00825CFB">
      <w:pPr>
        <w:spacing w:after="0" w:line="240" w:lineRule="auto"/>
        <w:rPr>
          <w:rFonts w:eastAsia="Calibri"/>
          <w:sz w:val="24"/>
          <w:szCs w:val="24"/>
        </w:rPr>
      </w:pPr>
    </w:p>
    <w:p w14:paraId="687D5A83" w14:textId="7AF5E0D0" w:rsidR="00825CFB" w:rsidRPr="005E017C" w:rsidRDefault="00825CFB" w:rsidP="00825CFB">
      <w:pPr>
        <w:spacing w:after="0" w:line="240" w:lineRule="auto"/>
        <w:rPr>
          <w:rFonts w:eastAsia="Calibri"/>
          <w:sz w:val="24"/>
          <w:szCs w:val="24"/>
        </w:rPr>
      </w:pPr>
      <w:r w:rsidRPr="005E017C">
        <w:rPr>
          <w:rFonts w:eastAsia="Calibri"/>
          <w:sz w:val="24"/>
          <w:szCs w:val="24"/>
        </w:rPr>
        <w:t>Thank you for consider</w:t>
      </w:r>
      <w:r w:rsidR="00F04097" w:rsidRPr="005E017C">
        <w:rPr>
          <w:rFonts w:eastAsia="Calibri"/>
          <w:sz w:val="24"/>
          <w:szCs w:val="24"/>
        </w:rPr>
        <w:t>ing</w:t>
      </w:r>
      <w:r w:rsidRPr="005E017C">
        <w:rPr>
          <w:rFonts w:eastAsia="Calibri"/>
          <w:sz w:val="24"/>
          <w:szCs w:val="24"/>
        </w:rPr>
        <w:t xml:space="preserve"> our views. </w:t>
      </w:r>
    </w:p>
    <w:p w14:paraId="2C063E37" w14:textId="77777777" w:rsidR="00825CFB" w:rsidRPr="005E017C" w:rsidRDefault="00825CFB" w:rsidP="00825CFB">
      <w:pPr>
        <w:spacing w:after="0" w:line="240" w:lineRule="auto"/>
        <w:rPr>
          <w:rFonts w:eastAsia="Calibri"/>
          <w:sz w:val="24"/>
          <w:szCs w:val="24"/>
        </w:rPr>
      </w:pPr>
    </w:p>
    <w:p w14:paraId="068D89AB" w14:textId="77777777" w:rsidR="00825CFB" w:rsidRPr="005E017C" w:rsidRDefault="00825CFB" w:rsidP="00825CFB">
      <w:pPr>
        <w:spacing w:after="0" w:line="240" w:lineRule="auto"/>
        <w:rPr>
          <w:rFonts w:eastAsia="Calibri"/>
          <w:sz w:val="24"/>
          <w:szCs w:val="24"/>
        </w:rPr>
      </w:pPr>
      <w:r w:rsidRPr="005E017C">
        <w:rPr>
          <w:rFonts w:eastAsia="Calibri"/>
          <w:sz w:val="24"/>
          <w:szCs w:val="24"/>
        </w:rPr>
        <w:t>Sincerely,</w:t>
      </w:r>
    </w:p>
    <w:p w14:paraId="7EE715BF" w14:textId="77777777" w:rsidR="00825CFB" w:rsidRPr="005E017C" w:rsidRDefault="00825CFB" w:rsidP="00825CFB">
      <w:pPr>
        <w:spacing w:after="0" w:line="240" w:lineRule="auto"/>
        <w:rPr>
          <w:rFonts w:eastAsia="Calibri"/>
          <w:sz w:val="24"/>
          <w:szCs w:val="24"/>
        </w:rPr>
      </w:pPr>
    </w:p>
    <w:p w14:paraId="023A3C2C" w14:textId="77777777" w:rsidR="00825CFB" w:rsidRPr="005E017C" w:rsidRDefault="00825CFB" w:rsidP="00825CFB">
      <w:pPr>
        <w:spacing w:after="0" w:line="240" w:lineRule="auto"/>
        <w:rPr>
          <w:rFonts w:eastAsia="Calibri"/>
          <w:sz w:val="24"/>
          <w:szCs w:val="24"/>
        </w:rPr>
      </w:pPr>
    </w:p>
    <w:p w14:paraId="50AF56E3" w14:textId="4AA842C2" w:rsidR="00825CFB" w:rsidRPr="005E017C" w:rsidRDefault="005E017C" w:rsidP="00825CFB">
      <w:pPr>
        <w:spacing w:after="0" w:line="240" w:lineRule="auto"/>
        <w:rPr>
          <w:rFonts w:eastAsia="Calibri"/>
          <w:sz w:val="24"/>
          <w:szCs w:val="24"/>
          <w:highlight w:val="yellow"/>
        </w:rPr>
      </w:pPr>
      <w:r w:rsidRPr="005E017C">
        <w:rPr>
          <w:rFonts w:eastAsia="Calibri"/>
          <w:sz w:val="24"/>
          <w:szCs w:val="24"/>
          <w:highlight w:val="yellow"/>
        </w:rPr>
        <w:t>[Name]</w:t>
      </w:r>
    </w:p>
    <w:p w14:paraId="3415E079" w14:textId="2488610D" w:rsidR="005E017C" w:rsidRPr="005E017C" w:rsidRDefault="005E017C" w:rsidP="00825CFB">
      <w:pPr>
        <w:spacing w:after="0" w:line="240" w:lineRule="auto"/>
        <w:rPr>
          <w:rFonts w:eastAsia="Calibri"/>
          <w:sz w:val="24"/>
          <w:szCs w:val="24"/>
        </w:rPr>
      </w:pPr>
      <w:r w:rsidRPr="005E017C">
        <w:rPr>
          <w:rFonts w:eastAsia="Calibri"/>
          <w:sz w:val="24"/>
          <w:szCs w:val="24"/>
          <w:highlight w:val="yellow"/>
        </w:rPr>
        <w:t>[Title]</w:t>
      </w:r>
    </w:p>
    <w:p w14:paraId="71A51196" w14:textId="77777777" w:rsidR="00825CFB" w:rsidRPr="005E017C" w:rsidRDefault="00825CFB" w:rsidP="00825CFB">
      <w:pPr>
        <w:spacing w:after="0" w:line="240" w:lineRule="auto"/>
        <w:rPr>
          <w:rFonts w:eastAsia="Calibri"/>
          <w:sz w:val="24"/>
          <w:szCs w:val="24"/>
        </w:rPr>
      </w:pPr>
    </w:p>
    <w:p w14:paraId="64A0A080" w14:textId="19F339A8" w:rsidR="00825CFB" w:rsidRPr="005E017C" w:rsidRDefault="00825CFB">
      <w:pPr>
        <w:spacing w:after="0" w:line="240" w:lineRule="auto"/>
        <w:rPr>
          <w:rFonts w:eastAsia="Calibri"/>
          <w:sz w:val="24"/>
          <w:szCs w:val="24"/>
        </w:rPr>
      </w:pPr>
      <w:r w:rsidRPr="005E017C">
        <w:rPr>
          <w:rFonts w:eastAsia="Calibri"/>
          <w:sz w:val="24"/>
          <w:szCs w:val="24"/>
        </w:rPr>
        <w:t>cc:</w:t>
      </w:r>
      <w:r w:rsidRPr="005E017C">
        <w:rPr>
          <w:rFonts w:eastAsia="Calibri"/>
          <w:sz w:val="24"/>
          <w:szCs w:val="24"/>
        </w:rPr>
        <w:tab/>
        <w:t>California Reinvestment Coalition</w:t>
      </w:r>
    </w:p>
    <w:p w14:paraId="122143FC" w14:textId="45BE797B" w:rsidR="00F04097" w:rsidRPr="005E017C" w:rsidRDefault="00825CFB" w:rsidP="00825CFB">
      <w:pPr>
        <w:spacing w:after="0" w:line="240" w:lineRule="auto"/>
        <w:rPr>
          <w:rFonts w:eastAsia="Calibri"/>
          <w:sz w:val="24"/>
          <w:szCs w:val="24"/>
        </w:rPr>
      </w:pPr>
      <w:r w:rsidRPr="005E017C">
        <w:rPr>
          <w:rFonts w:eastAsia="Calibri"/>
          <w:sz w:val="24"/>
          <w:szCs w:val="24"/>
        </w:rPr>
        <w:tab/>
        <w:t>National Community Reinvestment Coalition</w:t>
      </w:r>
    </w:p>
    <w:p w14:paraId="3EACE6DC" w14:textId="77777777" w:rsidR="006E1FF4" w:rsidRPr="005E017C" w:rsidRDefault="006E1FF4" w:rsidP="00A3337A">
      <w:pPr>
        <w:spacing w:after="0" w:line="240" w:lineRule="auto"/>
        <w:rPr>
          <w:rFonts w:cs="Calibri"/>
          <w:sz w:val="24"/>
          <w:szCs w:val="24"/>
        </w:rPr>
      </w:pPr>
    </w:p>
    <w:sectPr w:rsidR="006E1FF4" w:rsidRPr="005E017C" w:rsidSect="004D2955">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565B" w14:textId="77777777" w:rsidR="006B4629" w:rsidRDefault="006B4629">
      <w:r>
        <w:separator/>
      </w:r>
    </w:p>
  </w:endnote>
  <w:endnote w:type="continuationSeparator" w:id="0">
    <w:p w14:paraId="1004AEAF" w14:textId="77777777" w:rsidR="006B4629" w:rsidRDefault="006B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9E5E" w14:textId="77777777" w:rsidR="00A34571" w:rsidRDefault="00A34571" w:rsidP="005E01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8213706"/>
      <w:docPartObj>
        <w:docPartGallery w:val="Page Numbers (Bottom of Page)"/>
        <w:docPartUnique/>
      </w:docPartObj>
    </w:sdtPr>
    <w:sdtContent>
      <w:p w14:paraId="6AD0BE66" w14:textId="3E15984E" w:rsidR="005E017C" w:rsidRDefault="005E017C" w:rsidP="00BA6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31B3C6" w14:textId="57ABEC68" w:rsidR="00A34571" w:rsidRPr="00307AED" w:rsidRDefault="00A34571" w:rsidP="005E017C">
    <w:pPr>
      <w:pStyle w:val="Footer"/>
      <w:tabs>
        <w:tab w:val="clear" w:pos="4320"/>
        <w:tab w:val="clear" w:pos="8640"/>
        <w:tab w:val="left" w:pos="306"/>
        <w:tab w:val="left" w:pos="8128"/>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3122840"/>
      <w:docPartObj>
        <w:docPartGallery w:val="Page Numbers (Bottom of Page)"/>
        <w:docPartUnique/>
      </w:docPartObj>
    </w:sdtPr>
    <w:sdtContent>
      <w:p w14:paraId="31E885C4" w14:textId="19CEDB1F" w:rsidR="005E017C" w:rsidRDefault="005E017C" w:rsidP="00BA6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0113C3" w14:textId="24B3845B" w:rsidR="00A34571" w:rsidRPr="00481A71" w:rsidRDefault="00D95734" w:rsidP="005E017C">
    <w:pPr>
      <w:pStyle w:val="Footer"/>
      <w:tabs>
        <w:tab w:val="clear" w:pos="4320"/>
        <w:tab w:val="clear" w:pos="8640"/>
        <w:tab w:val="left" w:pos="3744"/>
        <w:tab w:val="left" w:pos="7200"/>
      </w:tabs>
      <w:spacing w:after="0" w:line="240" w:lineRule="auto"/>
      <w:ind w:left="-1152" w:right="360"/>
      <w:jc w:val="both"/>
      <w:rPr>
        <w:color w:val="7F7F7F"/>
        <w:sz w:val="16"/>
        <w:szCs w:val="18"/>
        <w:lang w:val="es-ES_tradnl"/>
      </w:rPr>
    </w:pPr>
    <w:r w:rsidRPr="00481A71">
      <w:rPr>
        <w:color w:val="7F7F7F"/>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72E0" w14:textId="77777777" w:rsidR="006B4629" w:rsidRDefault="006B4629">
      <w:r>
        <w:separator/>
      </w:r>
    </w:p>
  </w:footnote>
  <w:footnote w:type="continuationSeparator" w:id="0">
    <w:p w14:paraId="0902DF87" w14:textId="77777777" w:rsidR="006B4629" w:rsidRDefault="006B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FF83" w14:textId="5EAE22E4" w:rsidR="00A34571" w:rsidRPr="009B22A9" w:rsidRDefault="005E017C" w:rsidP="002D0497">
    <w:pPr>
      <w:pStyle w:val="Header"/>
      <w:ind w:left="-720"/>
    </w:pPr>
    <w:r w:rsidRPr="005E017C">
      <w:rPr>
        <w:highlight w:val="yellow"/>
      </w:rPr>
      <w:t>[Your Logo</w:t>
    </w:r>
    <w:r>
      <w:rPr>
        <w:highlight w:val="yellow"/>
      </w:rPr>
      <w:t>/Letterhead</w:t>
    </w:r>
    <w:r w:rsidRPr="005E017C">
      <w:rPr>
        <w:highlight w:val="yellow"/>
      </w:rPr>
      <w:t xml:space="preserve"> Here]</w:t>
    </w:r>
    <w:r w:rsidR="00A345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169E5"/>
    <w:multiLevelType w:val="hybridMultilevel"/>
    <w:tmpl w:val="30E04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626BA"/>
    <w:rsid w:val="000B36CB"/>
    <w:rsid w:val="000B3724"/>
    <w:rsid w:val="000C39BB"/>
    <w:rsid w:val="000D2508"/>
    <w:rsid w:val="000E6AEC"/>
    <w:rsid w:val="001138C4"/>
    <w:rsid w:val="00114A0C"/>
    <w:rsid w:val="00125294"/>
    <w:rsid w:val="00135ADD"/>
    <w:rsid w:val="001704EF"/>
    <w:rsid w:val="0018001D"/>
    <w:rsid w:val="00182677"/>
    <w:rsid w:val="00194D48"/>
    <w:rsid w:val="001A3F10"/>
    <w:rsid w:val="001A5DB1"/>
    <w:rsid w:val="001B5C70"/>
    <w:rsid w:val="001C4BBB"/>
    <w:rsid w:val="001C5AF3"/>
    <w:rsid w:val="001D54E8"/>
    <w:rsid w:val="001E53FE"/>
    <w:rsid w:val="00215D3A"/>
    <w:rsid w:val="0022741A"/>
    <w:rsid w:val="002430DA"/>
    <w:rsid w:val="002778C9"/>
    <w:rsid w:val="00295948"/>
    <w:rsid w:val="002A11C3"/>
    <w:rsid w:val="002A358A"/>
    <w:rsid w:val="002A68EA"/>
    <w:rsid w:val="002D0497"/>
    <w:rsid w:val="002E33F5"/>
    <w:rsid w:val="00307AED"/>
    <w:rsid w:val="003A3290"/>
    <w:rsid w:val="003A4E35"/>
    <w:rsid w:val="003C5E8C"/>
    <w:rsid w:val="003D6E62"/>
    <w:rsid w:val="003E1390"/>
    <w:rsid w:val="00436B70"/>
    <w:rsid w:val="00452FBF"/>
    <w:rsid w:val="00455EC0"/>
    <w:rsid w:val="004632BD"/>
    <w:rsid w:val="00470712"/>
    <w:rsid w:val="00481A71"/>
    <w:rsid w:val="004843B9"/>
    <w:rsid w:val="004C0334"/>
    <w:rsid w:val="004C2807"/>
    <w:rsid w:val="004D1F9C"/>
    <w:rsid w:val="004D2955"/>
    <w:rsid w:val="00533FD3"/>
    <w:rsid w:val="00567DA8"/>
    <w:rsid w:val="005A4E69"/>
    <w:rsid w:val="005D66F0"/>
    <w:rsid w:val="005E017C"/>
    <w:rsid w:val="005E3C11"/>
    <w:rsid w:val="0065168E"/>
    <w:rsid w:val="00675971"/>
    <w:rsid w:val="00676841"/>
    <w:rsid w:val="006B4629"/>
    <w:rsid w:val="006C0999"/>
    <w:rsid w:val="006D5C75"/>
    <w:rsid w:val="006E1FF4"/>
    <w:rsid w:val="006E569E"/>
    <w:rsid w:val="0071731F"/>
    <w:rsid w:val="00723CB3"/>
    <w:rsid w:val="0072453C"/>
    <w:rsid w:val="00742BA8"/>
    <w:rsid w:val="00764B83"/>
    <w:rsid w:val="007C31AB"/>
    <w:rsid w:val="007F7429"/>
    <w:rsid w:val="0080181E"/>
    <w:rsid w:val="0081050C"/>
    <w:rsid w:val="00824348"/>
    <w:rsid w:val="00825CFB"/>
    <w:rsid w:val="00840DBB"/>
    <w:rsid w:val="00872873"/>
    <w:rsid w:val="008734C4"/>
    <w:rsid w:val="0088772F"/>
    <w:rsid w:val="008E5253"/>
    <w:rsid w:val="008F1789"/>
    <w:rsid w:val="0091077E"/>
    <w:rsid w:val="009400BA"/>
    <w:rsid w:val="009752A2"/>
    <w:rsid w:val="009971B2"/>
    <w:rsid w:val="009D3A07"/>
    <w:rsid w:val="009E35B0"/>
    <w:rsid w:val="009E7E42"/>
    <w:rsid w:val="009F4FEB"/>
    <w:rsid w:val="00A03B2E"/>
    <w:rsid w:val="00A04CED"/>
    <w:rsid w:val="00A134A9"/>
    <w:rsid w:val="00A3337A"/>
    <w:rsid w:val="00A34571"/>
    <w:rsid w:val="00A353E3"/>
    <w:rsid w:val="00A361D6"/>
    <w:rsid w:val="00A52396"/>
    <w:rsid w:val="00A54927"/>
    <w:rsid w:val="00AC72C3"/>
    <w:rsid w:val="00B40A7D"/>
    <w:rsid w:val="00BD084C"/>
    <w:rsid w:val="00BF6403"/>
    <w:rsid w:val="00C05BFA"/>
    <w:rsid w:val="00C16B8B"/>
    <w:rsid w:val="00C437F2"/>
    <w:rsid w:val="00C46378"/>
    <w:rsid w:val="00C57B51"/>
    <w:rsid w:val="00C66327"/>
    <w:rsid w:val="00C8596F"/>
    <w:rsid w:val="00CC6A86"/>
    <w:rsid w:val="00CF41C4"/>
    <w:rsid w:val="00D2410E"/>
    <w:rsid w:val="00D26513"/>
    <w:rsid w:val="00D567C0"/>
    <w:rsid w:val="00D70697"/>
    <w:rsid w:val="00D95734"/>
    <w:rsid w:val="00DC3E0C"/>
    <w:rsid w:val="00DF5572"/>
    <w:rsid w:val="00E07139"/>
    <w:rsid w:val="00E2540B"/>
    <w:rsid w:val="00E313E6"/>
    <w:rsid w:val="00E5740E"/>
    <w:rsid w:val="00E6032F"/>
    <w:rsid w:val="00E627A1"/>
    <w:rsid w:val="00E72C88"/>
    <w:rsid w:val="00E7715B"/>
    <w:rsid w:val="00ED30EB"/>
    <w:rsid w:val="00ED7F41"/>
    <w:rsid w:val="00F004C5"/>
    <w:rsid w:val="00F04097"/>
    <w:rsid w:val="00F04FA5"/>
    <w:rsid w:val="00F422B4"/>
    <w:rsid w:val="00F62A70"/>
    <w:rsid w:val="00F721CA"/>
    <w:rsid w:val="00FA0EFF"/>
    <w:rsid w:val="00FA44E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A5"/>
    <w:pPr>
      <w:spacing w:after="200" w:line="276" w:lineRule="auto"/>
    </w:pPr>
    <w:rPr>
      <w:sz w:val="22"/>
      <w:szCs w:val="22"/>
    </w:rPr>
  </w:style>
  <w:style w:type="paragraph" w:styleId="Heading1">
    <w:name w:val="heading 1"/>
    <w:basedOn w:val="Normal"/>
    <w:next w:val="Normal"/>
    <w:link w:val="Heading1Char"/>
    <w:uiPriority w:val="9"/>
    <w:qFormat/>
    <w:rsid w:val="00F04FA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F04FA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F04FA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F04FA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04FA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04FA5"/>
    <w:rPr>
      <w:rFonts w:ascii="Cambria" w:eastAsia="Times New Roman" w:hAnsi="Cambria" w:cs="Times New Roman"/>
      <w:b/>
      <w:bCs/>
      <w:color w:val="2DA2BF"/>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470712"/>
    <w:rPr>
      <w:sz w:val="16"/>
      <w:szCs w:val="16"/>
    </w:rPr>
  </w:style>
  <w:style w:type="paragraph" w:styleId="CommentText">
    <w:name w:val="annotation text"/>
    <w:basedOn w:val="Normal"/>
    <w:link w:val="CommentTextChar"/>
    <w:uiPriority w:val="99"/>
    <w:semiHidden/>
    <w:unhideWhenUsed/>
    <w:rsid w:val="00470712"/>
    <w:pPr>
      <w:spacing w:line="240" w:lineRule="auto"/>
    </w:pPr>
    <w:rPr>
      <w:sz w:val="20"/>
      <w:szCs w:val="20"/>
    </w:rPr>
  </w:style>
  <w:style w:type="character" w:customStyle="1" w:styleId="CommentTextChar">
    <w:name w:val="Comment Text Char"/>
    <w:basedOn w:val="DefaultParagraphFont"/>
    <w:link w:val="CommentText"/>
    <w:uiPriority w:val="99"/>
    <w:semiHidden/>
    <w:rsid w:val="00470712"/>
  </w:style>
  <w:style w:type="paragraph" w:styleId="CommentSubject">
    <w:name w:val="annotation subject"/>
    <w:basedOn w:val="CommentText"/>
    <w:next w:val="CommentText"/>
    <w:link w:val="CommentSubjectChar"/>
    <w:uiPriority w:val="99"/>
    <w:semiHidden/>
    <w:unhideWhenUsed/>
    <w:rsid w:val="00470712"/>
    <w:rPr>
      <w:b/>
      <w:bCs/>
    </w:rPr>
  </w:style>
  <w:style w:type="character" w:customStyle="1" w:styleId="CommentSubjectChar">
    <w:name w:val="Comment Subject Char"/>
    <w:basedOn w:val="CommentTextChar"/>
    <w:link w:val="CommentSubject"/>
    <w:uiPriority w:val="99"/>
    <w:semiHidden/>
    <w:rsid w:val="00470712"/>
    <w:rPr>
      <w:b/>
      <w:bCs/>
    </w:rPr>
  </w:style>
  <w:style w:type="paragraph" w:styleId="Revision">
    <w:name w:val="Revision"/>
    <w:hidden/>
    <w:uiPriority w:val="71"/>
    <w:rsid w:val="00DC3E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ments@fdi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hpc.net/wp-content/uploads/2019/10/WhoCanAffordRent2019.pdf" TargetMode="External"/><Relationship Id="rId4" Type="http://schemas.openxmlformats.org/officeDocument/2006/relationships/settings" Target="settings.xml"/><Relationship Id="rId9" Type="http://schemas.openxmlformats.org/officeDocument/2006/relationships/hyperlink" Target="mailto:Comments@occ.trea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3D6E-C441-E24A-A6E3-1545CB8B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Christina Gotuaco</cp:lastModifiedBy>
  <cp:revision>3</cp:revision>
  <cp:lastPrinted>2018-06-21T21:38:00Z</cp:lastPrinted>
  <dcterms:created xsi:type="dcterms:W3CDTF">2020-04-02T01:10:00Z</dcterms:created>
  <dcterms:modified xsi:type="dcterms:W3CDTF">2020-04-02T01:16:00Z</dcterms:modified>
</cp:coreProperties>
</file>