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EB0E" w14:textId="2D1B27A4" w:rsidR="00840DBB" w:rsidRPr="00A021A8" w:rsidRDefault="00C904D4" w:rsidP="00840DBB">
      <w:pPr>
        <w:spacing w:after="0" w:line="240" w:lineRule="auto"/>
        <w:rPr>
          <w:rFonts w:ascii="Arial" w:hAnsi="Arial" w:cs="Arial"/>
        </w:rPr>
      </w:pPr>
      <w:r w:rsidRPr="00A021A8">
        <w:rPr>
          <w:rFonts w:ascii="Arial" w:hAnsi="Arial" w:cs="Arial"/>
          <w:highlight w:val="yellow"/>
        </w:rPr>
        <w:t>DATE</w:t>
      </w:r>
    </w:p>
    <w:p w14:paraId="05CC8577" w14:textId="1228D344" w:rsidR="00C904D4" w:rsidRPr="00A021A8" w:rsidRDefault="00C904D4" w:rsidP="00840DBB">
      <w:pPr>
        <w:spacing w:after="0" w:line="240" w:lineRule="auto"/>
        <w:rPr>
          <w:rFonts w:ascii="Arial" w:hAnsi="Arial" w:cs="Arial"/>
        </w:rPr>
      </w:pPr>
    </w:p>
    <w:p w14:paraId="433D918C" w14:textId="7134FF1E" w:rsidR="00C904D4" w:rsidRPr="00A021A8" w:rsidRDefault="00C904D4" w:rsidP="00840DBB">
      <w:pPr>
        <w:spacing w:after="0" w:line="240" w:lineRule="auto"/>
        <w:rPr>
          <w:rFonts w:ascii="Arial" w:hAnsi="Arial" w:cs="Arial"/>
        </w:rPr>
      </w:pPr>
      <w:r w:rsidRPr="00A021A8">
        <w:rPr>
          <w:rFonts w:ascii="Arial" w:hAnsi="Arial" w:cs="Arial"/>
        </w:rPr>
        <w:t>Board of Governors of the Federal Reserve System</w:t>
      </w:r>
    </w:p>
    <w:p w14:paraId="20C6AD83" w14:textId="1366A2A6" w:rsidR="00C904D4" w:rsidRPr="00A021A8" w:rsidRDefault="00C904D4" w:rsidP="00840DBB">
      <w:pPr>
        <w:spacing w:after="0" w:line="240" w:lineRule="auto"/>
        <w:rPr>
          <w:rFonts w:ascii="Arial" w:hAnsi="Arial" w:cs="Arial"/>
        </w:rPr>
      </w:pPr>
      <w:r w:rsidRPr="00A021A8">
        <w:rPr>
          <w:rFonts w:ascii="Arial" w:hAnsi="Arial" w:cs="Arial"/>
        </w:rPr>
        <w:t xml:space="preserve">Sent via email to </w:t>
      </w:r>
      <w:hyperlink r:id="rId8" w:history="1">
        <w:r w:rsidRPr="00A021A8">
          <w:rPr>
            <w:rStyle w:val="Hyperlink"/>
            <w:rFonts w:ascii="Arial" w:hAnsi="Arial" w:cs="Arial"/>
          </w:rPr>
          <w:t>regs.comments@federalreserve.gov</w:t>
        </w:r>
      </w:hyperlink>
    </w:p>
    <w:p w14:paraId="11887752" w14:textId="77777777" w:rsidR="00C904D4" w:rsidRPr="00A021A8" w:rsidRDefault="00C904D4" w:rsidP="00840DBB">
      <w:pPr>
        <w:spacing w:after="0" w:line="240" w:lineRule="auto"/>
        <w:rPr>
          <w:rFonts w:ascii="Arial" w:hAnsi="Arial" w:cs="Arial"/>
        </w:rPr>
      </w:pPr>
    </w:p>
    <w:p w14:paraId="31BC66E1" w14:textId="4843BE69" w:rsidR="00C904D4" w:rsidRPr="009C2389" w:rsidRDefault="00C904D4" w:rsidP="00840DBB">
      <w:pPr>
        <w:spacing w:after="0" w:line="240" w:lineRule="auto"/>
        <w:rPr>
          <w:rFonts w:ascii="Arial" w:hAnsi="Arial" w:cs="Arial"/>
          <w:b/>
          <w:bCs/>
        </w:rPr>
      </w:pPr>
      <w:r w:rsidRPr="009C2389">
        <w:rPr>
          <w:rFonts w:ascii="Arial" w:hAnsi="Arial" w:cs="Arial"/>
          <w:b/>
          <w:bCs/>
        </w:rPr>
        <w:t xml:space="preserve">RE: </w:t>
      </w:r>
      <w:r w:rsidRPr="009C2389">
        <w:rPr>
          <w:rFonts w:ascii="Arial" w:hAnsi="Arial" w:cs="Arial"/>
          <w:b/>
          <w:bCs/>
        </w:rPr>
        <w:tab/>
        <w:t>Community Reinvestment Act Proposed Rulemaking</w:t>
      </w:r>
    </w:p>
    <w:p w14:paraId="69ECA62C" w14:textId="37A10C58" w:rsidR="00C904D4" w:rsidRPr="009C2389" w:rsidRDefault="00C904D4" w:rsidP="006F7FD5">
      <w:pPr>
        <w:spacing w:after="0" w:line="240" w:lineRule="auto"/>
        <w:rPr>
          <w:rFonts w:ascii="Arial" w:hAnsi="Arial" w:cs="Arial"/>
          <w:b/>
          <w:bCs/>
          <w:color w:val="333333"/>
          <w:shd w:val="clear" w:color="auto" w:fill="FFFFFF"/>
        </w:rPr>
      </w:pPr>
      <w:r w:rsidRPr="009C2389">
        <w:rPr>
          <w:rFonts w:ascii="Arial" w:hAnsi="Arial" w:cs="Arial"/>
          <w:b/>
          <w:bCs/>
        </w:rPr>
        <w:tab/>
      </w:r>
      <w:r w:rsidRPr="009C2389">
        <w:rPr>
          <w:rFonts w:ascii="Arial" w:hAnsi="Arial" w:cs="Arial"/>
          <w:b/>
          <w:bCs/>
          <w:color w:val="333333"/>
          <w:shd w:val="clear" w:color="auto" w:fill="FFFFFF"/>
        </w:rPr>
        <w:t xml:space="preserve">Docket Number (R-1723) </w:t>
      </w:r>
      <w:r w:rsidR="006F7FD5" w:rsidRPr="009C2389">
        <w:rPr>
          <w:rFonts w:ascii="Arial" w:hAnsi="Arial" w:cs="Arial"/>
          <w:b/>
          <w:bCs/>
          <w:color w:val="333333"/>
          <w:shd w:val="clear" w:color="auto" w:fill="FFFFFF"/>
        </w:rPr>
        <w:t xml:space="preserve">and </w:t>
      </w:r>
      <w:r w:rsidRPr="009C2389">
        <w:rPr>
          <w:rFonts w:ascii="Arial" w:hAnsi="Arial" w:cs="Arial"/>
          <w:b/>
          <w:bCs/>
          <w:color w:val="333333"/>
          <w:shd w:val="clear" w:color="auto" w:fill="FFFFFF"/>
        </w:rPr>
        <w:t xml:space="preserve">RIN (7100-AF94) </w:t>
      </w:r>
    </w:p>
    <w:p w14:paraId="1EDFAFB4" w14:textId="77777777" w:rsidR="00C904D4" w:rsidRPr="00A021A8" w:rsidRDefault="00C904D4" w:rsidP="00840DBB">
      <w:pPr>
        <w:spacing w:after="0" w:line="240" w:lineRule="auto"/>
        <w:rPr>
          <w:rFonts w:ascii="Arial" w:hAnsi="Arial" w:cs="Arial"/>
        </w:rPr>
      </w:pPr>
    </w:p>
    <w:p w14:paraId="7395873B" w14:textId="2FB67D5F" w:rsidR="00C904D4" w:rsidRPr="00A021A8" w:rsidRDefault="00C904D4" w:rsidP="00AA7DE3">
      <w:pPr>
        <w:pStyle w:val="NoSpacing"/>
        <w:rPr>
          <w:rFonts w:ascii="Arial" w:hAnsi="Arial" w:cs="Arial"/>
        </w:rPr>
      </w:pPr>
      <w:r w:rsidRPr="00A021A8">
        <w:rPr>
          <w:rFonts w:ascii="Arial" w:hAnsi="Arial" w:cs="Arial"/>
        </w:rPr>
        <w:t>Dear Governors:</w:t>
      </w:r>
    </w:p>
    <w:p w14:paraId="06F477DD" w14:textId="6BA6FE4C" w:rsidR="00C904D4" w:rsidRPr="00A021A8" w:rsidRDefault="00C904D4" w:rsidP="00AA7DE3">
      <w:pPr>
        <w:pStyle w:val="NoSpacing"/>
        <w:rPr>
          <w:rFonts w:ascii="Arial" w:hAnsi="Arial" w:cs="Arial"/>
        </w:rPr>
      </w:pPr>
    </w:p>
    <w:p w14:paraId="00769F7A" w14:textId="10A3B707" w:rsidR="00C904D4" w:rsidRPr="00A021A8" w:rsidRDefault="00C3227E" w:rsidP="00AA7DE3">
      <w:pPr>
        <w:pStyle w:val="NoSpacing"/>
        <w:rPr>
          <w:rFonts w:ascii="Arial" w:hAnsi="Arial" w:cs="Arial"/>
        </w:rPr>
      </w:pPr>
      <w:r w:rsidRPr="00A021A8">
        <w:rPr>
          <w:rFonts w:ascii="Arial" w:hAnsi="Arial" w:cs="Arial"/>
          <w:highlight w:val="yellow"/>
        </w:rPr>
        <w:t>[NAME OF ORGANIZATION]</w:t>
      </w:r>
      <w:r w:rsidR="00C904D4" w:rsidRPr="00A021A8">
        <w:rPr>
          <w:rFonts w:ascii="Arial" w:hAnsi="Arial" w:cs="Arial"/>
        </w:rPr>
        <w:t xml:space="preserve"> greatly appreciates the </w:t>
      </w:r>
      <w:r w:rsidR="00290D86" w:rsidRPr="00A021A8">
        <w:rPr>
          <w:rFonts w:ascii="Arial" w:hAnsi="Arial" w:cs="Arial"/>
        </w:rPr>
        <w:t xml:space="preserve">Federal Reserve’s (Fed) </w:t>
      </w:r>
      <w:r w:rsidR="00C904D4" w:rsidRPr="00A021A8">
        <w:rPr>
          <w:rFonts w:ascii="Arial" w:hAnsi="Arial" w:cs="Arial"/>
        </w:rPr>
        <w:t xml:space="preserve">thoughtful and inclusive approach to modernizing the Community Reinvestment Act (CRA) regulations. CRA is a critical tool to meet the credit needs of low income communities and communities of color in California and throughout the country. In addition, CRA plays a critical role in the development of affordable rental housing by incentivizing banks both to lend on preferred terms and to invest in </w:t>
      </w:r>
      <w:r w:rsidR="00A50198" w:rsidRPr="00A021A8">
        <w:rPr>
          <w:rFonts w:ascii="Arial" w:hAnsi="Arial" w:cs="Arial"/>
        </w:rPr>
        <w:t xml:space="preserve">the </w:t>
      </w:r>
      <w:r w:rsidR="00C904D4" w:rsidRPr="00A021A8">
        <w:rPr>
          <w:rFonts w:ascii="Arial" w:hAnsi="Arial" w:cs="Arial"/>
        </w:rPr>
        <w:t>Low Income Housing Tax Credit</w:t>
      </w:r>
      <w:r w:rsidR="007E7DEB" w:rsidRPr="00A021A8">
        <w:rPr>
          <w:rFonts w:ascii="Arial" w:hAnsi="Arial" w:cs="Arial"/>
        </w:rPr>
        <w:t xml:space="preserve"> (</w:t>
      </w:r>
      <w:r w:rsidR="00A50198" w:rsidRPr="00A021A8">
        <w:rPr>
          <w:rFonts w:ascii="Arial" w:hAnsi="Arial" w:cs="Arial"/>
        </w:rPr>
        <w:t>Housing Credit</w:t>
      </w:r>
      <w:r w:rsidR="007E7DEB" w:rsidRPr="00A021A8">
        <w:rPr>
          <w:rFonts w:ascii="Arial" w:hAnsi="Arial" w:cs="Arial"/>
        </w:rPr>
        <w:t>)</w:t>
      </w:r>
      <w:r w:rsidR="00C904D4" w:rsidRPr="00A021A8">
        <w:rPr>
          <w:rFonts w:ascii="Arial" w:hAnsi="Arial" w:cs="Arial"/>
        </w:rPr>
        <w:t xml:space="preserve">. </w:t>
      </w:r>
      <w:r w:rsidR="007E7DEB" w:rsidRPr="00A021A8">
        <w:rPr>
          <w:rFonts w:ascii="Arial" w:hAnsi="Arial" w:cs="Arial"/>
        </w:rPr>
        <w:t xml:space="preserve">Indeed, </w:t>
      </w:r>
      <w:r w:rsidR="00A50198" w:rsidRPr="009C2389">
        <w:rPr>
          <w:rFonts w:ascii="Arial" w:hAnsi="Arial" w:cs="Arial"/>
          <w:b/>
          <w:bCs/>
        </w:rPr>
        <w:t xml:space="preserve">the Housing Credit </w:t>
      </w:r>
      <w:r w:rsidR="007E7DEB" w:rsidRPr="009C2389">
        <w:rPr>
          <w:rFonts w:ascii="Arial" w:hAnsi="Arial" w:cs="Arial"/>
          <w:b/>
          <w:bCs/>
        </w:rPr>
        <w:t xml:space="preserve">finances virtually all new affordable </w:t>
      </w:r>
      <w:r w:rsidR="00A021A8" w:rsidRPr="009C2389">
        <w:rPr>
          <w:rFonts w:ascii="Arial" w:hAnsi="Arial" w:cs="Arial"/>
          <w:b/>
          <w:bCs/>
        </w:rPr>
        <w:t xml:space="preserve">rental </w:t>
      </w:r>
      <w:r w:rsidR="007E7DEB" w:rsidRPr="009C2389">
        <w:rPr>
          <w:rFonts w:ascii="Arial" w:hAnsi="Arial" w:cs="Arial"/>
          <w:b/>
          <w:bCs/>
        </w:rPr>
        <w:t>housing</w:t>
      </w:r>
      <w:r w:rsidR="007E7DEB" w:rsidRPr="00A021A8">
        <w:rPr>
          <w:rFonts w:ascii="Arial" w:hAnsi="Arial" w:cs="Arial"/>
        </w:rPr>
        <w:t xml:space="preserve">, </w:t>
      </w:r>
      <w:r w:rsidR="00A021A8">
        <w:rPr>
          <w:rFonts w:ascii="Arial" w:hAnsi="Arial" w:cs="Arial"/>
        </w:rPr>
        <w:t>with</w:t>
      </w:r>
      <w:r w:rsidR="00A021A8" w:rsidRPr="00A021A8">
        <w:rPr>
          <w:rFonts w:ascii="Arial" w:hAnsi="Arial" w:cs="Arial"/>
        </w:rPr>
        <w:t xml:space="preserve"> </w:t>
      </w:r>
      <w:r w:rsidR="007E7DEB" w:rsidRPr="00A021A8">
        <w:rPr>
          <w:rFonts w:ascii="Arial" w:hAnsi="Arial" w:cs="Arial"/>
        </w:rPr>
        <w:t xml:space="preserve">CRA </w:t>
      </w:r>
      <w:r w:rsidR="00A021A8">
        <w:rPr>
          <w:rFonts w:ascii="Arial" w:hAnsi="Arial" w:cs="Arial"/>
        </w:rPr>
        <w:t>motivating</w:t>
      </w:r>
      <w:r w:rsidR="00A021A8" w:rsidRPr="00A021A8">
        <w:rPr>
          <w:rFonts w:ascii="Arial" w:hAnsi="Arial" w:cs="Arial"/>
        </w:rPr>
        <w:t xml:space="preserve"> </w:t>
      </w:r>
      <w:r w:rsidR="007E7DEB" w:rsidRPr="008E42E0">
        <w:rPr>
          <w:rFonts w:ascii="Arial" w:hAnsi="Arial" w:cs="Arial"/>
        </w:rPr>
        <w:t>the vast majority</w:t>
      </w:r>
      <w:r w:rsidR="007E7DEB" w:rsidRPr="00A021A8">
        <w:rPr>
          <w:rFonts w:ascii="Arial" w:hAnsi="Arial" w:cs="Arial"/>
        </w:rPr>
        <w:t xml:space="preserve"> of these investments. In 2019, an estimated </w:t>
      </w:r>
      <w:r w:rsidR="007E7DEB" w:rsidRPr="009C2389">
        <w:rPr>
          <w:rFonts w:ascii="Arial" w:hAnsi="Arial" w:cs="Arial"/>
          <w:b/>
          <w:bCs/>
        </w:rPr>
        <w:t xml:space="preserve">73% of all </w:t>
      </w:r>
      <w:r w:rsidR="00A50198" w:rsidRPr="009C2389">
        <w:rPr>
          <w:rFonts w:ascii="Arial" w:hAnsi="Arial" w:cs="Arial"/>
          <w:b/>
          <w:bCs/>
        </w:rPr>
        <w:t xml:space="preserve">Housing Credit </w:t>
      </w:r>
      <w:r w:rsidR="007E7DEB" w:rsidRPr="009C2389">
        <w:rPr>
          <w:rFonts w:ascii="Arial" w:hAnsi="Arial" w:cs="Arial"/>
          <w:b/>
          <w:bCs/>
        </w:rPr>
        <w:t>investment came from banks motivated by CRA requirements</w:t>
      </w:r>
      <w:r w:rsidR="007E7DEB" w:rsidRPr="00A021A8">
        <w:rPr>
          <w:rFonts w:ascii="Arial" w:hAnsi="Arial" w:cs="Arial"/>
        </w:rPr>
        <w:t xml:space="preserve">. </w:t>
      </w:r>
      <w:r w:rsidR="00C904D4" w:rsidRPr="00A021A8">
        <w:rPr>
          <w:rFonts w:ascii="Arial" w:hAnsi="Arial" w:cs="Arial"/>
        </w:rPr>
        <w:t>Strengthening the CRA regulations will improve on these outcomes.</w:t>
      </w:r>
    </w:p>
    <w:p w14:paraId="3067989A" w14:textId="1156275C" w:rsidR="00290D86" w:rsidRPr="00A021A8" w:rsidRDefault="00290D86" w:rsidP="00AA7DE3">
      <w:pPr>
        <w:pStyle w:val="NoSpacing"/>
        <w:rPr>
          <w:rFonts w:ascii="Arial" w:hAnsi="Arial" w:cs="Arial"/>
        </w:rPr>
      </w:pPr>
    </w:p>
    <w:p w14:paraId="3130BEFA" w14:textId="7C2A8935" w:rsidR="00290D86" w:rsidRPr="00A021A8" w:rsidRDefault="00C3227E" w:rsidP="00AA7DE3">
      <w:pPr>
        <w:pStyle w:val="NoSpacing"/>
        <w:rPr>
          <w:rFonts w:ascii="Arial" w:hAnsi="Arial" w:cs="Arial"/>
        </w:rPr>
      </w:pPr>
      <w:r w:rsidRPr="00A021A8">
        <w:rPr>
          <w:rFonts w:ascii="Arial" w:hAnsi="Arial" w:cs="Arial"/>
          <w:highlight w:val="yellow"/>
        </w:rPr>
        <w:t>[INFORMATION ABOUT YOUR ORGANIZATION]</w:t>
      </w:r>
    </w:p>
    <w:p w14:paraId="0D63E0B9" w14:textId="77777777" w:rsidR="00C904D4" w:rsidRPr="00A021A8" w:rsidRDefault="00C904D4" w:rsidP="00AA7DE3">
      <w:pPr>
        <w:pStyle w:val="NoSpacing"/>
        <w:rPr>
          <w:rFonts w:ascii="Arial" w:hAnsi="Arial" w:cs="Arial"/>
        </w:rPr>
      </w:pPr>
    </w:p>
    <w:p w14:paraId="5A43C579" w14:textId="01E48AFA" w:rsidR="00290D86" w:rsidRPr="00A021A8" w:rsidRDefault="00C3227E" w:rsidP="00AA7DE3">
      <w:pPr>
        <w:pStyle w:val="NoSpacing"/>
        <w:rPr>
          <w:rFonts w:ascii="Arial" w:hAnsi="Arial" w:cs="Arial"/>
        </w:rPr>
      </w:pPr>
      <w:r w:rsidRPr="00A021A8">
        <w:rPr>
          <w:rFonts w:ascii="Arial" w:hAnsi="Arial" w:cs="Arial"/>
        </w:rPr>
        <w:t>We support</w:t>
      </w:r>
      <w:r w:rsidR="00AA7DE3" w:rsidRPr="00A021A8">
        <w:rPr>
          <w:rFonts w:ascii="Arial" w:hAnsi="Arial" w:cs="Arial"/>
        </w:rPr>
        <w:t xml:space="preserve"> the proposal to establish a separate community development </w:t>
      </w:r>
      <w:r w:rsidR="00290D86" w:rsidRPr="00A021A8">
        <w:rPr>
          <w:rFonts w:ascii="Arial" w:hAnsi="Arial" w:cs="Arial"/>
        </w:rPr>
        <w:t xml:space="preserve">(CD) </w:t>
      </w:r>
      <w:r w:rsidR="00AA7DE3" w:rsidRPr="00A021A8">
        <w:rPr>
          <w:rFonts w:ascii="Arial" w:hAnsi="Arial" w:cs="Arial"/>
        </w:rPr>
        <w:t xml:space="preserve">test but oppose the suggestion that the CD lending and CD investments tests be combined. We are very concerned that doing so would disfavor Housing Credit </w:t>
      </w:r>
      <w:r w:rsidR="00290D86" w:rsidRPr="00A021A8">
        <w:rPr>
          <w:rFonts w:ascii="Arial" w:hAnsi="Arial" w:cs="Arial"/>
        </w:rPr>
        <w:t>i</w:t>
      </w:r>
      <w:r w:rsidR="00AA7DE3" w:rsidRPr="00A021A8">
        <w:rPr>
          <w:rFonts w:ascii="Arial" w:hAnsi="Arial" w:cs="Arial"/>
        </w:rPr>
        <w:t xml:space="preserve">nvestments, which can be complex and expensive for banks to transact and </w:t>
      </w:r>
      <w:r w:rsidR="00290D86" w:rsidRPr="00A021A8">
        <w:rPr>
          <w:rFonts w:ascii="Arial" w:hAnsi="Arial" w:cs="Arial"/>
        </w:rPr>
        <w:t xml:space="preserve">therefore </w:t>
      </w:r>
      <w:r w:rsidR="00AA7DE3" w:rsidRPr="00A021A8">
        <w:rPr>
          <w:rFonts w:ascii="Arial" w:hAnsi="Arial" w:cs="Arial"/>
        </w:rPr>
        <w:t xml:space="preserve">may provide a lower return than CD lending. The </w:t>
      </w:r>
      <w:r w:rsidR="00290D86" w:rsidRPr="00A021A8">
        <w:rPr>
          <w:rFonts w:ascii="Arial" w:hAnsi="Arial" w:cs="Arial"/>
        </w:rPr>
        <w:t>Fed</w:t>
      </w:r>
      <w:r w:rsidR="00AA7DE3" w:rsidRPr="00A021A8">
        <w:rPr>
          <w:rFonts w:ascii="Arial" w:hAnsi="Arial" w:cs="Arial"/>
        </w:rPr>
        <w:t xml:space="preserve"> also proposes to encourage patient CD lending</w:t>
      </w:r>
      <w:r w:rsidR="00290D86" w:rsidRPr="00A021A8">
        <w:rPr>
          <w:rFonts w:ascii="Arial" w:hAnsi="Arial" w:cs="Arial"/>
        </w:rPr>
        <w:t>,</w:t>
      </w:r>
      <w:r w:rsidR="00AA7DE3" w:rsidRPr="00A021A8">
        <w:rPr>
          <w:rFonts w:ascii="Arial" w:hAnsi="Arial" w:cs="Arial"/>
        </w:rPr>
        <w:t xml:space="preserve"> which could further favor CD lending </w:t>
      </w:r>
      <w:r w:rsidR="00290D86" w:rsidRPr="00A021A8">
        <w:rPr>
          <w:rFonts w:ascii="Arial" w:hAnsi="Arial" w:cs="Arial"/>
        </w:rPr>
        <w:t>over</w:t>
      </w:r>
      <w:r w:rsidR="00AA7DE3" w:rsidRPr="00A021A8">
        <w:rPr>
          <w:rFonts w:ascii="Arial" w:hAnsi="Arial" w:cs="Arial"/>
        </w:rPr>
        <w:t xml:space="preserve"> CD investing. Both lending and investment are critical to the affordable housing ecosystem</w:t>
      </w:r>
      <w:r w:rsidRPr="00A021A8">
        <w:rPr>
          <w:rFonts w:ascii="Arial" w:hAnsi="Arial" w:cs="Arial"/>
        </w:rPr>
        <w:t xml:space="preserve">, and </w:t>
      </w:r>
      <w:r w:rsidR="00431F10" w:rsidRPr="00A021A8">
        <w:rPr>
          <w:rFonts w:ascii="Arial" w:hAnsi="Arial" w:cs="Arial"/>
        </w:rPr>
        <w:t>the ability to produce new housing would be dramatically diminished if banks are allowed to substitute lending for investing. For this reason</w:t>
      </w:r>
      <w:r w:rsidR="00992013" w:rsidRPr="00A021A8">
        <w:rPr>
          <w:rFonts w:ascii="Arial" w:hAnsi="Arial" w:cs="Arial"/>
        </w:rPr>
        <w:t>,</w:t>
      </w:r>
      <w:r w:rsidR="00431F10" w:rsidRPr="00A021A8">
        <w:rPr>
          <w:rFonts w:ascii="Arial" w:hAnsi="Arial" w:cs="Arial"/>
        </w:rPr>
        <w:t xml:space="preserve"> lending and investing must</w:t>
      </w:r>
      <w:r w:rsidR="00AA7DE3" w:rsidRPr="00A021A8">
        <w:rPr>
          <w:rFonts w:ascii="Arial" w:hAnsi="Arial" w:cs="Arial"/>
        </w:rPr>
        <w:t xml:space="preserve"> be examined separately, </w:t>
      </w:r>
      <w:r w:rsidR="00290D86" w:rsidRPr="00A021A8">
        <w:rPr>
          <w:rFonts w:ascii="Arial" w:hAnsi="Arial" w:cs="Arial"/>
        </w:rPr>
        <w:t>even if they are</w:t>
      </w:r>
      <w:r w:rsidR="00AA7DE3" w:rsidRPr="00A021A8">
        <w:rPr>
          <w:rFonts w:ascii="Arial" w:hAnsi="Arial" w:cs="Arial"/>
        </w:rPr>
        <w:t xml:space="preserve"> rolled up into one </w:t>
      </w:r>
      <w:r w:rsidR="00290D86" w:rsidRPr="00A021A8">
        <w:rPr>
          <w:rFonts w:ascii="Arial" w:hAnsi="Arial" w:cs="Arial"/>
        </w:rPr>
        <w:t xml:space="preserve">CD </w:t>
      </w:r>
      <w:r w:rsidR="00AA7DE3" w:rsidRPr="00A021A8">
        <w:rPr>
          <w:rFonts w:ascii="Arial" w:hAnsi="Arial" w:cs="Arial"/>
        </w:rPr>
        <w:t>rating</w:t>
      </w:r>
      <w:r w:rsidR="006C12CD" w:rsidRPr="00A021A8">
        <w:rPr>
          <w:rFonts w:ascii="Arial" w:hAnsi="Arial" w:cs="Arial"/>
        </w:rPr>
        <w:t>. In addition,</w:t>
      </w:r>
      <w:r w:rsidR="00431F10" w:rsidRPr="00A021A8">
        <w:rPr>
          <w:rFonts w:ascii="Arial" w:hAnsi="Arial" w:cs="Arial"/>
        </w:rPr>
        <w:t xml:space="preserve"> </w:t>
      </w:r>
      <w:r w:rsidR="00AA7DE3" w:rsidRPr="00A021A8">
        <w:rPr>
          <w:rFonts w:ascii="Arial" w:hAnsi="Arial" w:cs="Arial"/>
        </w:rPr>
        <w:t>the rules should prioritize annual investments</w:t>
      </w:r>
      <w:r w:rsidR="00431F10" w:rsidRPr="00A021A8">
        <w:rPr>
          <w:rFonts w:ascii="Arial" w:hAnsi="Arial" w:cs="Arial"/>
        </w:rPr>
        <w:t xml:space="preserve"> </w:t>
      </w:r>
      <w:r w:rsidR="006C12CD" w:rsidRPr="00A021A8">
        <w:rPr>
          <w:rFonts w:ascii="Arial" w:hAnsi="Arial" w:cs="Arial"/>
        </w:rPr>
        <w:t>and lending</w:t>
      </w:r>
      <w:r w:rsidR="00AA7DE3" w:rsidRPr="00A021A8">
        <w:rPr>
          <w:rFonts w:ascii="Arial" w:hAnsi="Arial" w:cs="Arial"/>
        </w:rPr>
        <w:t xml:space="preserve">, with patient </w:t>
      </w:r>
      <w:r w:rsidR="006C12CD" w:rsidRPr="00A021A8">
        <w:rPr>
          <w:rFonts w:ascii="Arial" w:hAnsi="Arial" w:cs="Arial"/>
        </w:rPr>
        <w:t>lending</w:t>
      </w:r>
      <w:r w:rsidR="00AA7DE3" w:rsidRPr="00A021A8">
        <w:rPr>
          <w:rFonts w:ascii="Arial" w:hAnsi="Arial" w:cs="Arial"/>
        </w:rPr>
        <w:t xml:space="preserve"> garnering higher impact scores. </w:t>
      </w:r>
    </w:p>
    <w:p w14:paraId="1E69B52A" w14:textId="5857C67A" w:rsidR="003D038B" w:rsidRPr="00A021A8" w:rsidRDefault="003D038B" w:rsidP="00AA7DE3">
      <w:pPr>
        <w:pStyle w:val="NoSpacing"/>
        <w:rPr>
          <w:rFonts w:ascii="Arial" w:hAnsi="Arial" w:cs="Arial"/>
        </w:rPr>
      </w:pPr>
    </w:p>
    <w:p w14:paraId="76F0426E" w14:textId="6139C51C" w:rsidR="006F7FD5" w:rsidRPr="00A021A8" w:rsidRDefault="006C12CD">
      <w:pPr>
        <w:pStyle w:val="NoSpacing"/>
        <w:rPr>
          <w:rFonts w:ascii="Arial" w:hAnsi="Arial" w:cs="Arial"/>
        </w:rPr>
      </w:pPr>
      <w:r w:rsidRPr="00A021A8">
        <w:rPr>
          <w:rFonts w:ascii="Arial" w:hAnsi="Arial" w:cs="Arial"/>
        </w:rPr>
        <w:t>We</w:t>
      </w:r>
      <w:r w:rsidR="00D86EBA" w:rsidRPr="00A021A8">
        <w:rPr>
          <w:rFonts w:ascii="Arial" w:hAnsi="Arial" w:cs="Arial"/>
        </w:rPr>
        <w:t xml:space="preserve"> also support efforts to reduce inequities in Housing Credit pricing between CRA “hot spots and not spots” </w:t>
      </w:r>
      <w:r w:rsidR="007E7DEB" w:rsidRPr="00A021A8">
        <w:rPr>
          <w:rFonts w:ascii="Arial" w:hAnsi="Arial" w:cs="Arial"/>
        </w:rPr>
        <w:t xml:space="preserve">that currently see a pricing differential of 10-15%. </w:t>
      </w:r>
      <w:r w:rsidR="00D86EBA" w:rsidRPr="00A021A8">
        <w:rPr>
          <w:rFonts w:ascii="Arial" w:hAnsi="Arial" w:cs="Arial"/>
        </w:rPr>
        <w:t xml:space="preserve">This can </w:t>
      </w:r>
      <w:r w:rsidR="007B0AB0" w:rsidRPr="00A021A8">
        <w:rPr>
          <w:rFonts w:ascii="Arial" w:hAnsi="Arial" w:cs="Arial"/>
        </w:rPr>
        <w:t xml:space="preserve">best </w:t>
      </w:r>
      <w:r w:rsidR="00D86EBA" w:rsidRPr="00A021A8">
        <w:rPr>
          <w:rFonts w:ascii="Arial" w:hAnsi="Arial" w:cs="Arial"/>
        </w:rPr>
        <w:t xml:space="preserve">be achieved without undermining the obligations within the bank’s territory by </w:t>
      </w:r>
      <w:r w:rsidR="00431F10" w:rsidRPr="00A021A8">
        <w:rPr>
          <w:rFonts w:ascii="Arial" w:hAnsi="Arial" w:cs="Arial"/>
        </w:rPr>
        <w:t xml:space="preserve">granting </w:t>
      </w:r>
      <w:r w:rsidR="007B0AB0" w:rsidRPr="00A021A8">
        <w:rPr>
          <w:rFonts w:ascii="Arial" w:hAnsi="Arial" w:cs="Arial"/>
        </w:rPr>
        <w:t xml:space="preserve">banks credit </w:t>
      </w:r>
      <w:r w:rsidR="006F7FD5" w:rsidRPr="00A021A8">
        <w:rPr>
          <w:rFonts w:ascii="Arial" w:hAnsi="Arial" w:cs="Arial"/>
        </w:rPr>
        <w:t xml:space="preserve">at the assessment area level for </w:t>
      </w:r>
      <w:r w:rsidR="00A50198" w:rsidRPr="00A021A8">
        <w:rPr>
          <w:rFonts w:ascii="Arial" w:hAnsi="Arial" w:cs="Arial"/>
        </w:rPr>
        <w:t xml:space="preserve">Housing Credit </w:t>
      </w:r>
      <w:r w:rsidR="006F7FD5" w:rsidRPr="00A021A8">
        <w:rPr>
          <w:rFonts w:ascii="Arial" w:hAnsi="Arial" w:cs="Arial"/>
        </w:rPr>
        <w:t>investments made anywhere within a state in which a bank has one or more assessment areas</w:t>
      </w:r>
      <w:r w:rsidR="007B0AB0" w:rsidRPr="00A021A8">
        <w:rPr>
          <w:rFonts w:ascii="Arial" w:hAnsi="Arial" w:cs="Arial"/>
        </w:rPr>
        <w:t>.</w:t>
      </w:r>
      <w:r w:rsidR="00A97719" w:rsidRPr="00A021A8">
        <w:rPr>
          <w:rFonts w:ascii="Arial" w:hAnsi="Arial" w:cs="Arial"/>
        </w:rPr>
        <w:t xml:space="preserve"> E</w:t>
      </w:r>
      <w:r w:rsidR="006F7FD5" w:rsidRPr="00A021A8">
        <w:rPr>
          <w:rFonts w:ascii="Arial" w:hAnsi="Arial" w:cs="Arial"/>
        </w:rPr>
        <w:t>liminating the separate investment test while simultaneously expanding the array of activities that qualify for CRA credit under the CD Test could have the effect of displacing Housing Credit investments with activities that are less impactful for low-income communities and households.</w:t>
      </w:r>
    </w:p>
    <w:p w14:paraId="557267BB" w14:textId="77777777" w:rsidR="006F7FD5" w:rsidRPr="00A021A8" w:rsidRDefault="006F7FD5" w:rsidP="006F7FD5">
      <w:pPr>
        <w:pStyle w:val="NoSpacing"/>
        <w:rPr>
          <w:rFonts w:ascii="Arial" w:hAnsi="Arial" w:cs="Arial"/>
        </w:rPr>
      </w:pPr>
    </w:p>
    <w:p w14:paraId="1443994D" w14:textId="77777777" w:rsidR="00A97719" w:rsidRPr="00A021A8" w:rsidRDefault="00A97719" w:rsidP="00A97719">
      <w:pPr>
        <w:pStyle w:val="NoSpacing"/>
        <w:rPr>
          <w:rFonts w:ascii="Arial" w:hAnsi="Arial" w:cs="Arial"/>
        </w:rPr>
      </w:pPr>
      <w:r w:rsidRPr="00A021A8">
        <w:rPr>
          <w:rFonts w:ascii="Arial" w:hAnsi="Arial" w:cs="Arial"/>
        </w:rPr>
        <w:t xml:space="preserve">Some stakeholders have noted, as included in the ANPR, that “large-scale development and infrastructure projects may sometimes have limited benefit for targeted geographies.” For this reason, essential infrastructure and community facilities should qualify for CRA credit only if they primarily benefit low-income individuals and communities. </w:t>
      </w:r>
    </w:p>
    <w:p w14:paraId="005CE2DD" w14:textId="77777777" w:rsidR="00A97719" w:rsidRPr="00A021A8" w:rsidRDefault="00A97719" w:rsidP="00A97719">
      <w:pPr>
        <w:pStyle w:val="NoSpacing"/>
        <w:rPr>
          <w:rFonts w:ascii="Arial" w:hAnsi="Arial" w:cs="Arial"/>
        </w:rPr>
      </w:pPr>
    </w:p>
    <w:p w14:paraId="535501B7" w14:textId="1A942530" w:rsidR="00BB795F" w:rsidRPr="00A021A8" w:rsidRDefault="00AA7DE3" w:rsidP="006F7FD5">
      <w:pPr>
        <w:pStyle w:val="NoSpacing"/>
        <w:rPr>
          <w:rFonts w:ascii="Arial" w:hAnsi="Arial" w:cs="Arial"/>
        </w:rPr>
      </w:pPr>
      <w:r w:rsidRPr="00A021A8">
        <w:rPr>
          <w:rFonts w:ascii="Arial" w:hAnsi="Arial" w:cs="Arial"/>
        </w:rPr>
        <w:t xml:space="preserve">We commend the </w:t>
      </w:r>
      <w:r w:rsidR="003D038B" w:rsidRPr="00A021A8">
        <w:rPr>
          <w:rFonts w:ascii="Arial" w:hAnsi="Arial" w:cs="Arial"/>
        </w:rPr>
        <w:t>Fed</w:t>
      </w:r>
      <w:r w:rsidRPr="00A021A8">
        <w:rPr>
          <w:rFonts w:ascii="Arial" w:hAnsi="Arial" w:cs="Arial"/>
        </w:rPr>
        <w:t xml:space="preserve"> for proposing data collection on community development activity as current data is sparse. Standards regarding affordability should not be relaxed</w:t>
      </w:r>
      <w:r w:rsidR="00BB795F" w:rsidRPr="00A021A8">
        <w:rPr>
          <w:rFonts w:ascii="Arial" w:hAnsi="Arial" w:cs="Arial"/>
        </w:rPr>
        <w:t xml:space="preserve"> and</w:t>
      </w:r>
      <w:r w:rsidRPr="00A021A8">
        <w:rPr>
          <w:rFonts w:ascii="Arial" w:hAnsi="Arial" w:cs="Arial"/>
        </w:rPr>
        <w:t xml:space="preserve"> at least 50% of units in a building should be deed restricted </w:t>
      </w:r>
      <w:r w:rsidR="00953E3B" w:rsidRPr="00A021A8">
        <w:rPr>
          <w:rFonts w:ascii="Arial" w:hAnsi="Arial" w:cs="Arial"/>
        </w:rPr>
        <w:t xml:space="preserve">at prices that are </w:t>
      </w:r>
      <w:r w:rsidRPr="00A021A8">
        <w:rPr>
          <w:rFonts w:ascii="Arial" w:hAnsi="Arial" w:cs="Arial"/>
        </w:rPr>
        <w:t xml:space="preserve">affordable </w:t>
      </w:r>
      <w:r w:rsidR="00953E3B" w:rsidRPr="00A021A8">
        <w:rPr>
          <w:rFonts w:ascii="Arial" w:hAnsi="Arial" w:cs="Arial"/>
        </w:rPr>
        <w:t>to</w:t>
      </w:r>
      <w:r w:rsidRPr="00A021A8">
        <w:rPr>
          <w:rFonts w:ascii="Arial" w:hAnsi="Arial" w:cs="Arial"/>
        </w:rPr>
        <w:t xml:space="preserve"> </w:t>
      </w:r>
      <w:r w:rsidR="00953E3B" w:rsidRPr="00A021A8">
        <w:rPr>
          <w:rFonts w:ascii="Arial" w:hAnsi="Arial" w:cs="Arial"/>
        </w:rPr>
        <w:t>low- or moderate-</w:t>
      </w:r>
      <w:r w:rsidR="00953E3B" w:rsidRPr="00A021A8">
        <w:rPr>
          <w:rFonts w:ascii="Arial" w:hAnsi="Arial" w:cs="Arial"/>
        </w:rPr>
        <w:lastRenderedPageBreak/>
        <w:t xml:space="preserve">income </w:t>
      </w:r>
      <w:r w:rsidR="006C12CD" w:rsidRPr="00A021A8">
        <w:rPr>
          <w:rFonts w:ascii="Arial" w:hAnsi="Arial" w:cs="Arial"/>
        </w:rPr>
        <w:t xml:space="preserve">households </w:t>
      </w:r>
      <w:r w:rsidR="00953E3B" w:rsidRPr="00A021A8">
        <w:rPr>
          <w:rFonts w:ascii="Arial" w:hAnsi="Arial" w:cs="Arial"/>
        </w:rPr>
        <w:t>and at least 10% below market</w:t>
      </w:r>
      <w:r w:rsidR="003D038B" w:rsidRPr="00A021A8">
        <w:rPr>
          <w:rFonts w:ascii="Arial" w:hAnsi="Arial" w:cs="Arial"/>
        </w:rPr>
        <w:t xml:space="preserve"> </w:t>
      </w:r>
      <w:r w:rsidRPr="00A021A8">
        <w:rPr>
          <w:rFonts w:ascii="Arial" w:hAnsi="Arial" w:cs="Arial"/>
        </w:rPr>
        <w:t xml:space="preserve">in order for a CD loan to qualify for CRA credit for creating affordable housing. </w:t>
      </w:r>
    </w:p>
    <w:p w14:paraId="6157356F" w14:textId="77777777" w:rsidR="00BB795F" w:rsidRPr="00A021A8" w:rsidRDefault="00BB795F" w:rsidP="006F7FD5">
      <w:pPr>
        <w:pStyle w:val="NoSpacing"/>
        <w:rPr>
          <w:rFonts w:ascii="Arial" w:hAnsi="Arial" w:cs="Arial"/>
        </w:rPr>
      </w:pPr>
    </w:p>
    <w:p w14:paraId="4AE37316" w14:textId="7676836C" w:rsidR="001A0115" w:rsidRPr="00A021A8" w:rsidRDefault="00AA7DE3" w:rsidP="00BB795F">
      <w:pPr>
        <w:pStyle w:val="NoSpacing"/>
        <w:rPr>
          <w:rFonts w:ascii="Arial" w:hAnsi="Arial" w:cs="Arial"/>
        </w:rPr>
      </w:pPr>
      <w:r w:rsidRPr="00A021A8">
        <w:rPr>
          <w:rFonts w:ascii="Arial" w:hAnsi="Arial" w:cs="Arial"/>
        </w:rPr>
        <w:t xml:space="preserve">Impact scoring </w:t>
      </w:r>
      <w:r w:rsidR="00953E3B" w:rsidRPr="00A021A8">
        <w:rPr>
          <w:rFonts w:ascii="Arial" w:hAnsi="Arial" w:cs="Arial"/>
        </w:rPr>
        <w:t>should add</w:t>
      </w:r>
      <w:r w:rsidRPr="00A021A8">
        <w:rPr>
          <w:rFonts w:ascii="Arial" w:hAnsi="Arial" w:cs="Arial"/>
        </w:rPr>
        <w:t xml:space="preserve"> credit for </w:t>
      </w:r>
      <w:r w:rsidR="00953E3B" w:rsidRPr="00A021A8">
        <w:rPr>
          <w:rFonts w:ascii="Arial" w:hAnsi="Arial" w:cs="Arial"/>
        </w:rPr>
        <w:t>developments</w:t>
      </w:r>
      <w:r w:rsidRPr="00A021A8">
        <w:rPr>
          <w:rFonts w:ascii="Arial" w:hAnsi="Arial" w:cs="Arial"/>
        </w:rPr>
        <w:t xml:space="preserve"> that </w:t>
      </w:r>
      <w:r w:rsidR="00953E3B" w:rsidRPr="00A021A8">
        <w:rPr>
          <w:rFonts w:ascii="Arial" w:hAnsi="Arial" w:cs="Arial"/>
        </w:rPr>
        <w:t xml:space="preserve">are dedicated to serving (in whole or significant part) </w:t>
      </w:r>
      <w:r w:rsidR="003D038B" w:rsidRPr="00A021A8">
        <w:rPr>
          <w:rFonts w:ascii="Arial" w:hAnsi="Arial" w:cs="Arial"/>
        </w:rPr>
        <w:t>e</w:t>
      </w:r>
      <w:r w:rsidRPr="00A021A8">
        <w:rPr>
          <w:rFonts w:ascii="Arial" w:hAnsi="Arial" w:cs="Arial"/>
        </w:rPr>
        <w:t xml:space="preserve">xtremely </w:t>
      </w:r>
      <w:r w:rsidR="003D038B" w:rsidRPr="00A021A8">
        <w:rPr>
          <w:rFonts w:ascii="Arial" w:hAnsi="Arial" w:cs="Arial"/>
        </w:rPr>
        <w:t>l</w:t>
      </w:r>
      <w:r w:rsidRPr="00A021A8">
        <w:rPr>
          <w:rFonts w:ascii="Arial" w:hAnsi="Arial" w:cs="Arial"/>
        </w:rPr>
        <w:t>ow</w:t>
      </w:r>
      <w:r w:rsidR="003D038B" w:rsidRPr="00A021A8">
        <w:rPr>
          <w:rFonts w:ascii="Arial" w:hAnsi="Arial" w:cs="Arial"/>
        </w:rPr>
        <w:t>-i</w:t>
      </w:r>
      <w:r w:rsidRPr="00A021A8">
        <w:rPr>
          <w:rFonts w:ascii="Arial" w:hAnsi="Arial" w:cs="Arial"/>
        </w:rPr>
        <w:t>ncome residents, homeless persons</w:t>
      </w:r>
      <w:r w:rsidR="001274D7" w:rsidRPr="00A021A8">
        <w:rPr>
          <w:rFonts w:ascii="Arial" w:hAnsi="Arial" w:cs="Arial"/>
        </w:rPr>
        <w:t>,</w:t>
      </w:r>
      <w:r w:rsidR="00953E3B" w:rsidRPr="00A021A8">
        <w:rPr>
          <w:rFonts w:ascii="Arial" w:hAnsi="Arial" w:cs="Arial"/>
        </w:rPr>
        <w:t xml:space="preserve"> and are located in areas that affirmatively further fair housing</w:t>
      </w:r>
      <w:r w:rsidRPr="00A021A8">
        <w:rPr>
          <w:rFonts w:ascii="Arial" w:hAnsi="Arial" w:cs="Arial"/>
        </w:rPr>
        <w:t xml:space="preserve">. Impact scoring should also reward banks that adopt </w:t>
      </w:r>
      <w:hyperlink r:id="rId9" w:history="1">
        <w:r w:rsidRPr="00A021A8">
          <w:rPr>
            <w:rStyle w:val="Hyperlink"/>
            <w:rFonts w:ascii="Arial" w:hAnsi="Arial" w:cs="Arial"/>
          </w:rPr>
          <w:t>CRC’s Anti Displacement Code of Conduct</w:t>
        </w:r>
      </w:hyperlink>
      <w:r w:rsidRPr="00A021A8">
        <w:rPr>
          <w:rFonts w:ascii="Arial" w:hAnsi="Arial" w:cs="Arial"/>
        </w:rPr>
        <w:t xml:space="preserve"> or similar </w:t>
      </w:r>
      <w:r w:rsidR="00953E3B" w:rsidRPr="00A021A8">
        <w:rPr>
          <w:rFonts w:ascii="Arial" w:hAnsi="Arial" w:cs="Arial"/>
        </w:rPr>
        <w:t xml:space="preserve">best practice </w:t>
      </w:r>
      <w:r w:rsidRPr="00A021A8">
        <w:rPr>
          <w:rFonts w:ascii="Arial" w:hAnsi="Arial" w:cs="Arial"/>
        </w:rPr>
        <w:t xml:space="preserve">policies that are effectively designed to mitigate gentrification and displacement. </w:t>
      </w:r>
    </w:p>
    <w:p w14:paraId="78258A2F" w14:textId="53331E11" w:rsidR="00233942" w:rsidRPr="00A021A8" w:rsidRDefault="00233942" w:rsidP="00AA7DE3">
      <w:pPr>
        <w:pStyle w:val="NoSpacing"/>
        <w:rPr>
          <w:rFonts w:ascii="Arial" w:eastAsia="Times New Roman" w:hAnsi="Arial" w:cs="Arial"/>
          <w:bCs/>
          <w:color w:val="0070C0"/>
        </w:rPr>
      </w:pPr>
    </w:p>
    <w:p w14:paraId="5D23C09B" w14:textId="7BCE4B55" w:rsidR="001A0115" w:rsidRPr="00A021A8" w:rsidRDefault="00D86EBA" w:rsidP="001A0115">
      <w:pPr>
        <w:pStyle w:val="NoSpacing"/>
        <w:rPr>
          <w:rFonts w:ascii="Arial" w:hAnsi="Arial" w:cs="Arial"/>
        </w:rPr>
      </w:pPr>
      <w:r w:rsidRPr="00A021A8">
        <w:rPr>
          <w:rFonts w:ascii="Arial" w:hAnsi="Arial" w:cs="Arial"/>
        </w:rPr>
        <w:t xml:space="preserve">Thank you for the opportunity to comment and </w:t>
      </w:r>
      <w:r w:rsidR="008E42E0">
        <w:rPr>
          <w:rFonts w:ascii="Arial" w:hAnsi="Arial" w:cs="Arial"/>
        </w:rPr>
        <w:t xml:space="preserve">for </w:t>
      </w:r>
      <w:r w:rsidRPr="00A021A8">
        <w:rPr>
          <w:rFonts w:ascii="Arial" w:hAnsi="Arial" w:cs="Arial"/>
        </w:rPr>
        <w:t>all the Fed’s efforts to modernize and improve the CRA regulations in a responsible manner.</w:t>
      </w:r>
    </w:p>
    <w:p w14:paraId="0B567895" w14:textId="0F5C99C3" w:rsidR="00D86EBA" w:rsidRPr="00A021A8" w:rsidRDefault="00D86EBA" w:rsidP="001A0115">
      <w:pPr>
        <w:pStyle w:val="NoSpacing"/>
        <w:rPr>
          <w:rFonts w:ascii="Arial" w:hAnsi="Arial" w:cs="Arial"/>
        </w:rPr>
      </w:pPr>
    </w:p>
    <w:p w14:paraId="6E839911" w14:textId="79A37B6F" w:rsidR="00D86EBA" w:rsidRPr="00A021A8" w:rsidRDefault="00D86EBA" w:rsidP="001A0115">
      <w:pPr>
        <w:pStyle w:val="NoSpacing"/>
        <w:rPr>
          <w:rFonts w:ascii="Arial" w:hAnsi="Arial" w:cs="Arial"/>
        </w:rPr>
      </w:pPr>
      <w:r w:rsidRPr="00A021A8">
        <w:rPr>
          <w:rFonts w:ascii="Arial" w:hAnsi="Arial" w:cs="Arial"/>
        </w:rPr>
        <w:t>Sincerely,</w:t>
      </w:r>
    </w:p>
    <w:p w14:paraId="3B4742EF" w14:textId="37DF9EBF" w:rsidR="00D86EBA" w:rsidRPr="00A021A8" w:rsidRDefault="00D86EBA" w:rsidP="001A0115">
      <w:pPr>
        <w:pStyle w:val="NoSpacing"/>
        <w:rPr>
          <w:rFonts w:ascii="Arial" w:hAnsi="Arial" w:cs="Arial"/>
        </w:rPr>
      </w:pPr>
    </w:p>
    <w:p w14:paraId="511DDDFD" w14:textId="68E9F43A" w:rsidR="00D86EBA" w:rsidRPr="00A021A8" w:rsidRDefault="009C2389" w:rsidP="001A0115">
      <w:pPr>
        <w:pStyle w:val="NoSpacing"/>
        <w:rPr>
          <w:rFonts w:ascii="Arial" w:hAnsi="Arial" w:cs="Arial"/>
        </w:rPr>
      </w:pPr>
      <w:r w:rsidRPr="00A021A8">
        <w:rPr>
          <w:rFonts w:ascii="Arial" w:hAnsi="Arial" w:cs="Arial"/>
          <w:highlight w:val="yellow"/>
        </w:rPr>
        <w:t>[</w:t>
      </w:r>
      <w:r>
        <w:rPr>
          <w:rFonts w:ascii="Arial" w:hAnsi="Arial" w:cs="Arial"/>
          <w:highlight w:val="yellow"/>
        </w:rPr>
        <w:t>YOUR NAME</w:t>
      </w:r>
      <w:r w:rsidRPr="00A021A8">
        <w:rPr>
          <w:rFonts w:ascii="Arial" w:hAnsi="Arial" w:cs="Arial"/>
          <w:highlight w:val="yellow"/>
        </w:rPr>
        <w:t>]</w:t>
      </w:r>
    </w:p>
    <w:sectPr w:rsidR="00D86EBA" w:rsidRPr="00A021A8" w:rsidSect="004D2955">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3748D" w14:textId="77777777" w:rsidR="00B4686A" w:rsidRDefault="00B4686A">
      <w:r>
        <w:separator/>
      </w:r>
    </w:p>
  </w:endnote>
  <w:endnote w:type="continuationSeparator" w:id="0">
    <w:p w14:paraId="08587D89" w14:textId="77777777" w:rsidR="00B4686A" w:rsidRDefault="00B4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뜩蜗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merican Typewriter">
    <w:altName w:val="﷽﷽﷽﷽﷽﷽﷽﷽ Typewriter"/>
    <w:panose1 w:val="02090604020004020304"/>
    <w:charset w:val="4D"/>
    <w:family w:val="roman"/>
    <w:pitch w:val="variable"/>
    <w:sig w:usb0="A000006F" w:usb1="00000019" w:usb2="00000000" w:usb3="00000000" w:csb0="00000111" w:csb1="00000000"/>
  </w:font>
  <w:font w:name="Minion Italic">
    <w:altName w:val="Courier"/>
    <w:panose1 w:val="020B0604020202020204"/>
    <w:charset w:val="4D"/>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B3C6" w14:textId="27559304" w:rsidR="00A34571" w:rsidRPr="001A0115" w:rsidRDefault="00A34571" w:rsidP="00307AED">
    <w:pPr>
      <w:pStyle w:val="Footer"/>
      <w:tabs>
        <w:tab w:val="clear" w:pos="4320"/>
        <w:tab w:val="clear" w:pos="8640"/>
        <w:tab w:val="left" w:pos="8128"/>
      </w:tabs>
      <w:ind w:right="36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13C3" w14:textId="3C677E75" w:rsidR="00A34571" w:rsidRPr="001A0115" w:rsidRDefault="001C4BBB" w:rsidP="002A11C3">
    <w:pPr>
      <w:pStyle w:val="Footer"/>
      <w:tabs>
        <w:tab w:val="clear" w:pos="4320"/>
        <w:tab w:val="clear" w:pos="8640"/>
        <w:tab w:val="left" w:pos="3744"/>
        <w:tab w:val="left" w:pos="7200"/>
      </w:tabs>
      <w:spacing w:after="0" w:line="240" w:lineRule="auto"/>
      <w:ind w:left="-1152" w:right="-450"/>
      <w:jc w:val="both"/>
      <w:rPr>
        <w:color w:val="7F7F7F"/>
        <w:sz w:val="24"/>
        <w:szCs w:val="24"/>
      </w:rPr>
    </w:pPr>
    <w:r>
      <w:rPr>
        <w:bCs/>
        <w:color w:val="365F91"/>
        <w:spacing w:val="10"/>
        <w:kern w:val="2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EC838" w14:textId="77777777" w:rsidR="00B4686A" w:rsidRDefault="00B4686A">
      <w:r>
        <w:separator/>
      </w:r>
    </w:p>
  </w:footnote>
  <w:footnote w:type="continuationSeparator" w:id="0">
    <w:p w14:paraId="2394E332" w14:textId="77777777" w:rsidR="00B4686A" w:rsidRDefault="00B4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FF83" w14:textId="2F08E41F" w:rsidR="00A34571" w:rsidRPr="009B22A9" w:rsidRDefault="00A34571" w:rsidP="002D0497">
    <w:pPr>
      <w:pStyle w:val="Header"/>
      <w:ind w:left="-72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50033"/>
    <w:rsid w:val="00083C92"/>
    <w:rsid w:val="00093D75"/>
    <w:rsid w:val="000A6711"/>
    <w:rsid w:val="000B36CB"/>
    <w:rsid w:val="000B3724"/>
    <w:rsid w:val="000C39BB"/>
    <w:rsid w:val="000D2508"/>
    <w:rsid w:val="001138C4"/>
    <w:rsid w:val="00114A0C"/>
    <w:rsid w:val="00125294"/>
    <w:rsid w:val="001274D7"/>
    <w:rsid w:val="00135ADD"/>
    <w:rsid w:val="0018001D"/>
    <w:rsid w:val="00194D48"/>
    <w:rsid w:val="001A0115"/>
    <w:rsid w:val="001A5DB1"/>
    <w:rsid w:val="001B5C70"/>
    <w:rsid w:val="001C4BBB"/>
    <w:rsid w:val="001C5AF3"/>
    <w:rsid w:val="001D54E8"/>
    <w:rsid w:val="001E2D99"/>
    <w:rsid w:val="001E53FE"/>
    <w:rsid w:val="0022741A"/>
    <w:rsid w:val="00233942"/>
    <w:rsid w:val="0026061A"/>
    <w:rsid w:val="00261289"/>
    <w:rsid w:val="00290D86"/>
    <w:rsid w:val="00295948"/>
    <w:rsid w:val="002A11C3"/>
    <w:rsid w:val="002A68EA"/>
    <w:rsid w:val="002A73E4"/>
    <w:rsid w:val="002D0497"/>
    <w:rsid w:val="00300438"/>
    <w:rsid w:val="00307AED"/>
    <w:rsid w:val="00314ABB"/>
    <w:rsid w:val="003478DA"/>
    <w:rsid w:val="003A3290"/>
    <w:rsid w:val="003A4E35"/>
    <w:rsid w:val="003B1D0E"/>
    <w:rsid w:val="003C5E8C"/>
    <w:rsid w:val="003D038B"/>
    <w:rsid w:val="003D6E62"/>
    <w:rsid w:val="00431F10"/>
    <w:rsid w:val="00436B70"/>
    <w:rsid w:val="0045053A"/>
    <w:rsid w:val="00452FBF"/>
    <w:rsid w:val="00455EC0"/>
    <w:rsid w:val="004632BD"/>
    <w:rsid w:val="00481A71"/>
    <w:rsid w:val="004C0334"/>
    <w:rsid w:val="004C2807"/>
    <w:rsid w:val="004D1F9C"/>
    <w:rsid w:val="004D2955"/>
    <w:rsid w:val="004D3B47"/>
    <w:rsid w:val="004E587D"/>
    <w:rsid w:val="005044B2"/>
    <w:rsid w:val="00533FD3"/>
    <w:rsid w:val="0054767A"/>
    <w:rsid w:val="00567DA8"/>
    <w:rsid w:val="005A4E69"/>
    <w:rsid w:val="005D66F0"/>
    <w:rsid w:val="0065168E"/>
    <w:rsid w:val="00675971"/>
    <w:rsid w:val="00676841"/>
    <w:rsid w:val="006C12CD"/>
    <w:rsid w:val="006D5C75"/>
    <w:rsid w:val="006D7804"/>
    <w:rsid w:val="006E1FF4"/>
    <w:rsid w:val="006E569E"/>
    <w:rsid w:val="006F7FD5"/>
    <w:rsid w:val="0071731F"/>
    <w:rsid w:val="00723CB3"/>
    <w:rsid w:val="0072453C"/>
    <w:rsid w:val="007541FE"/>
    <w:rsid w:val="00764B83"/>
    <w:rsid w:val="007B0AB0"/>
    <w:rsid w:val="007E7DEB"/>
    <w:rsid w:val="007F7429"/>
    <w:rsid w:val="0080181E"/>
    <w:rsid w:val="0081050C"/>
    <w:rsid w:val="00824348"/>
    <w:rsid w:val="00840DBB"/>
    <w:rsid w:val="008734C4"/>
    <w:rsid w:val="0088772F"/>
    <w:rsid w:val="008E42E0"/>
    <w:rsid w:val="008E5253"/>
    <w:rsid w:val="0093123E"/>
    <w:rsid w:val="00952034"/>
    <w:rsid w:val="00953E3B"/>
    <w:rsid w:val="00956A7B"/>
    <w:rsid w:val="009752A2"/>
    <w:rsid w:val="00992013"/>
    <w:rsid w:val="009971B2"/>
    <w:rsid w:val="009C2389"/>
    <w:rsid w:val="009D3A07"/>
    <w:rsid w:val="009E35B0"/>
    <w:rsid w:val="009E7E42"/>
    <w:rsid w:val="009F4FEB"/>
    <w:rsid w:val="00A021A8"/>
    <w:rsid w:val="00A03B2E"/>
    <w:rsid w:val="00A04CED"/>
    <w:rsid w:val="00A134A9"/>
    <w:rsid w:val="00A34571"/>
    <w:rsid w:val="00A353E3"/>
    <w:rsid w:val="00A361D6"/>
    <w:rsid w:val="00A50198"/>
    <w:rsid w:val="00A52396"/>
    <w:rsid w:val="00A97719"/>
    <w:rsid w:val="00AA7DE3"/>
    <w:rsid w:val="00AC72C3"/>
    <w:rsid w:val="00B11CDB"/>
    <w:rsid w:val="00B40A7D"/>
    <w:rsid w:val="00B4686A"/>
    <w:rsid w:val="00BB795F"/>
    <w:rsid w:val="00BD084C"/>
    <w:rsid w:val="00BF6403"/>
    <w:rsid w:val="00C05BFA"/>
    <w:rsid w:val="00C3227E"/>
    <w:rsid w:val="00C437F2"/>
    <w:rsid w:val="00C46378"/>
    <w:rsid w:val="00C5233D"/>
    <w:rsid w:val="00C904D4"/>
    <w:rsid w:val="00CC6A86"/>
    <w:rsid w:val="00CD7BF5"/>
    <w:rsid w:val="00CF41C4"/>
    <w:rsid w:val="00D020FA"/>
    <w:rsid w:val="00D2410E"/>
    <w:rsid w:val="00D26513"/>
    <w:rsid w:val="00D33D1F"/>
    <w:rsid w:val="00D567C0"/>
    <w:rsid w:val="00D70697"/>
    <w:rsid w:val="00D86EBA"/>
    <w:rsid w:val="00D95734"/>
    <w:rsid w:val="00DF5572"/>
    <w:rsid w:val="00DF5974"/>
    <w:rsid w:val="00E07139"/>
    <w:rsid w:val="00E2540B"/>
    <w:rsid w:val="00E313E6"/>
    <w:rsid w:val="00E66DD8"/>
    <w:rsid w:val="00E7715B"/>
    <w:rsid w:val="00ED30EB"/>
    <w:rsid w:val="00ED7F41"/>
    <w:rsid w:val="00EE1665"/>
    <w:rsid w:val="00F004C5"/>
    <w:rsid w:val="00F04FA5"/>
    <w:rsid w:val="00F422B4"/>
    <w:rsid w:val="00F62A70"/>
    <w:rsid w:val="00F721CA"/>
    <w:rsid w:val="00F82A88"/>
    <w:rsid w:val="00FA0EFF"/>
    <w:rsid w:val="00FA5B52"/>
    <w:rsid w:val="00FF45A4"/>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 w:type="character" w:customStyle="1" w:styleId="apple-converted-space">
    <w:name w:val="apple-converted-space"/>
    <w:basedOn w:val="DefaultParagraphFont"/>
    <w:rsid w:val="00C904D4"/>
  </w:style>
  <w:style w:type="character" w:styleId="CommentReference">
    <w:name w:val="annotation reference"/>
    <w:basedOn w:val="DefaultParagraphFont"/>
    <w:uiPriority w:val="99"/>
    <w:semiHidden/>
    <w:unhideWhenUsed/>
    <w:rsid w:val="00953E3B"/>
    <w:rPr>
      <w:sz w:val="16"/>
      <w:szCs w:val="16"/>
    </w:rPr>
  </w:style>
  <w:style w:type="paragraph" w:styleId="CommentText">
    <w:name w:val="annotation text"/>
    <w:basedOn w:val="Normal"/>
    <w:link w:val="CommentTextChar"/>
    <w:uiPriority w:val="99"/>
    <w:semiHidden/>
    <w:unhideWhenUsed/>
    <w:rsid w:val="00953E3B"/>
    <w:pPr>
      <w:spacing w:line="240" w:lineRule="auto"/>
    </w:pPr>
    <w:rPr>
      <w:sz w:val="20"/>
      <w:szCs w:val="20"/>
    </w:rPr>
  </w:style>
  <w:style w:type="character" w:customStyle="1" w:styleId="CommentTextChar">
    <w:name w:val="Comment Text Char"/>
    <w:basedOn w:val="DefaultParagraphFont"/>
    <w:link w:val="CommentText"/>
    <w:uiPriority w:val="99"/>
    <w:semiHidden/>
    <w:rsid w:val="00953E3B"/>
    <w:rPr>
      <w:rFonts w:ascii="Avenir Book" w:hAnsi="Avenir Book"/>
    </w:rPr>
  </w:style>
  <w:style w:type="paragraph" w:styleId="CommentSubject">
    <w:name w:val="annotation subject"/>
    <w:basedOn w:val="CommentText"/>
    <w:next w:val="CommentText"/>
    <w:link w:val="CommentSubjectChar"/>
    <w:uiPriority w:val="99"/>
    <w:semiHidden/>
    <w:unhideWhenUsed/>
    <w:rsid w:val="00953E3B"/>
    <w:rPr>
      <w:b/>
      <w:bCs/>
    </w:rPr>
  </w:style>
  <w:style w:type="character" w:customStyle="1" w:styleId="CommentSubjectChar">
    <w:name w:val="Comment Subject Char"/>
    <w:basedOn w:val="CommentTextChar"/>
    <w:link w:val="CommentSubject"/>
    <w:uiPriority w:val="99"/>
    <w:semiHidden/>
    <w:rsid w:val="00953E3B"/>
    <w:rPr>
      <w:rFonts w:ascii="Avenir Book" w:hAnsi="Avenir Book"/>
      <w:b/>
      <w:bCs/>
    </w:rPr>
  </w:style>
  <w:style w:type="character" w:styleId="FollowedHyperlink">
    <w:name w:val="FollowedHyperlink"/>
    <w:basedOn w:val="DefaultParagraphFont"/>
    <w:uiPriority w:val="99"/>
    <w:semiHidden/>
    <w:unhideWhenUsed/>
    <w:rsid w:val="00BB795F"/>
    <w:rPr>
      <w:color w:val="954F72" w:themeColor="followedHyperlink"/>
      <w:u w:val="single"/>
    </w:rPr>
  </w:style>
  <w:style w:type="paragraph" w:styleId="Revision">
    <w:name w:val="Revision"/>
    <w:hidden/>
    <w:uiPriority w:val="71"/>
    <w:rsid w:val="00956A7B"/>
    <w:rPr>
      <w:rFonts w:ascii="Avenir Book" w:hAnsi="Avenir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33346014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785078938">
      <w:bodyDiv w:val="1"/>
      <w:marLeft w:val="0"/>
      <w:marRight w:val="0"/>
      <w:marTop w:val="0"/>
      <w:marBottom w:val="0"/>
      <w:divBdr>
        <w:top w:val="none" w:sz="0" w:space="0" w:color="auto"/>
        <w:left w:val="none" w:sz="0" w:space="0" w:color="auto"/>
        <w:bottom w:val="none" w:sz="0" w:space="0" w:color="auto"/>
        <w:right w:val="none" w:sz="0" w:space="0" w:color="auto"/>
      </w:divBdr>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462647221">
      <w:bodyDiv w:val="1"/>
      <w:marLeft w:val="0"/>
      <w:marRight w:val="0"/>
      <w:marTop w:val="0"/>
      <w:marBottom w:val="0"/>
      <w:divBdr>
        <w:top w:val="none" w:sz="0" w:space="0" w:color="auto"/>
        <w:left w:val="none" w:sz="0" w:space="0" w:color="auto"/>
        <w:bottom w:val="none" w:sz="0" w:space="0" w:color="auto"/>
        <w:right w:val="none" w:sz="0" w:space="0" w:color="auto"/>
      </w:divBdr>
    </w:div>
    <w:div w:id="1486312025">
      <w:bodyDiv w:val="1"/>
      <w:marLeft w:val="0"/>
      <w:marRight w:val="0"/>
      <w:marTop w:val="0"/>
      <w:marBottom w:val="0"/>
      <w:divBdr>
        <w:top w:val="none" w:sz="0" w:space="0" w:color="auto"/>
        <w:left w:val="none" w:sz="0" w:space="0" w:color="auto"/>
        <w:bottom w:val="none" w:sz="0" w:space="0" w:color="auto"/>
        <w:right w:val="none" w:sz="0" w:space="0" w:color="auto"/>
      </w:divBdr>
    </w:div>
    <w:div w:id="1687975999">
      <w:bodyDiv w:val="1"/>
      <w:marLeft w:val="0"/>
      <w:marRight w:val="0"/>
      <w:marTop w:val="0"/>
      <w:marBottom w:val="0"/>
      <w:divBdr>
        <w:top w:val="none" w:sz="0" w:space="0" w:color="auto"/>
        <w:left w:val="none" w:sz="0" w:space="0" w:color="auto"/>
        <w:bottom w:val="none" w:sz="0" w:space="0" w:color="auto"/>
        <w:right w:val="none" w:sz="0" w:space="0" w:color="auto"/>
      </w:divBdr>
    </w:div>
    <w:div w:id="1858502399">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 w:id="18824006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gs.comments@federalreserve.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reinvest.org/about/code-of-conduc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Christina Gotuaco</cp:lastModifiedBy>
  <cp:revision>4</cp:revision>
  <cp:lastPrinted>2018-06-21T21:38:00Z</cp:lastPrinted>
  <dcterms:created xsi:type="dcterms:W3CDTF">2021-02-05T21:14:00Z</dcterms:created>
  <dcterms:modified xsi:type="dcterms:W3CDTF">2021-02-08T17:20:00Z</dcterms:modified>
</cp:coreProperties>
</file>