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9A98" w14:textId="77777777" w:rsidR="001A2A29" w:rsidRPr="00642862" w:rsidRDefault="001A2A29" w:rsidP="003065FA">
      <w:pPr>
        <w:jc w:val="center"/>
        <w:rPr>
          <w:u w:val="single"/>
        </w:rPr>
        <w:sectPr w:rsidR="001A2A29" w:rsidRPr="00642862" w:rsidSect="00DB513F">
          <w:headerReference w:type="first" r:id="rId7"/>
          <w:pgSz w:w="12240" w:h="15840"/>
          <w:pgMar w:top="1440" w:right="1440" w:bottom="1440" w:left="1440" w:header="720" w:footer="720" w:gutter="0"/>
          <w:cols w:num="2" w:space="720"/>
          <w:titlePg/>
          <w:docGrid w:linePitch="360"/>
        </w:sectPr>
      </w:pPr>
    </w:p>
    <w:p w14:paraId="1C766308" w14:textId="77777777" w:rsidR="00AB332C" w:rsidRPr="005A3B9D" w:rsidRDefault="00AB332C" w:rsidP="003065FA">
      <w:pPr>
        <w:pStyle w:val="Heading3"/>
        <w:jc w:val="center"/>
        <w:rPr>
          <w:rStyle w:val="SubtleEmphasis"/>
          <w:rFonts w:ascii="Times New Roman" w:hAnsi="Times New Roman" w:cs="Times New Roman"/>
          <w:b/>
          <w:color w:val="000000" w:themeColor="text1"/>
          <w:sz w:val="28"/>
          <w:szCs w:val="28"/>
        </w:rPr>
      </w:pPr>
      <w:r w:rsidRPr="005A3B9D">
        <w:rPr>
          <w:rStyle w:val="SubtleEmphasis"/>
          <w:rFonts w:ascii="Times New Roman" w:hAnsi="Times New Roman" w:cs="Times New Roman"/>
          <w:b/>
          <w:color w:val="000000" w:themeColor="text1"/>
          <w:sz w:val="28"/>
          <w:szCs w:val="28"/>
        </w:rPr>
        <w:t>SB 482: Capitalized Operating Subsidy Reserves</w:t>
      </w:r>
    </w:p>
    <w:p w14:paraId="04C1EB06" w14:textId="77777777" w:rsidR="005A3B9D" w:rsidRPr="005A3B9D" w:rsidRDefault="005A3B9D" w:rsidP="005A3B9D">
      <w:pPr>
        <w:pStyle w:val="NoSpacing"/>
        <w:sectPr w:rsidR="005A3B9D" w:rsidRPr="005A3B9D" w:rsidSect="005A3B9D">
          <w:type w:val="continuous"/>
          <w:pgSz w:w="12240" w:h="15840"/>
          <w:pgMar w:top="1440" w:right="1440" w:bottom="1440" w:left="1440" w:header="720" w:footer="720" w:gutter="0"/>
          <w:cols w:num="2" w:space="720"/>
          <w:titlePg/>
          <w:docGrid w:linePitch="360"/>
        </w:sectPr>
      </w:pPr>
    </w:p>
    <w:p w14:paraId="1E61F2BD" w14:textId="77777777" w:rsidR="00AB332C" w:rsidRDefault="00AB332C" w:rsidP="00AB332C">
      <w:pPr>
        <w:pStyle w:val="Heading2"/>
        <w:jc w:val="left"/>
        <w:rPr>
          <w:rFonts w:ascii="Times New Roman" w:hAnsi="Times New Roman" w:cs="Times New Roman"/>
          <w:i w:val="0"/>
          <w:sz w:val="22"/>
          <w:szCs w:val="22"/>
        </w:rPr>
      </w:pPr>
    </w:p>
    <w:p w14:paraId="2EAA00EC" w14:textId="77777777" w:rsidR="00AB332C" w:rsidRPr="00693998" w:rsidRDefault="00AB332C" w:rsidP="00AB332C">
      <w:pPr>
        <w:pStyle w:val="Heading2"/>
        <w:jc w:val="left"/>
        <w:rPr>
          <w:rFonts w:ascii="Times New Roman" w:hAnsi="Times New Roman" w:cs="Times New Roman"/>
          <w:i w:val="0"/>
          <w:sz w:val="22"/>
          <w:szCs w:val="22"/>
        </w:rPr>
      </w:pPr>
      <w:r w:rsidRPr="00693998">
        <w:rPr>
          <w:rFonts w:ascii="Times New Roman" w:hAnsi="Times New Roman" w:cs="Times New Roman"/>
          <w:i w:val="0"/>
          <w:sz w:val="22"/>
          <w:szCs w:val="22"/>
        </w:rPr>
        <w:t xml:space="preserve">PURPOSE </w:t>
      </w:r>
    </w:p>
    <w:p w14:paraId="4AF2236B" w14:textId="77777777" w:rsidR="00AB332C" w:rsidRPr="00AB332C" w:rsidRDefault="00AB332C" w:rsidP="00AB332C">
      <w:pPr>
        <w:rPr>
          <w:rFonts w:ascii="Times New Roman" w:hAnsi="Times New Roman"/>
        </w:rPr>
      </w:pPr>
      <w:r w:rsidRPr="00AB332C">
        <w:rPr>
          <w:rFonts w:ascii="Times New Roman" w:hAnsi="Times New Roman"/>
          <w:b/>
        </w:rPr>
        <w:t>SB 482</w:t>
      </w:r>
      <w:r w:rsidRPr="00AB332C">
        <w:rPr>
          <w:rFonts w:ascii="Times New Roman" w:hAnsi="Times New Roman"/>
        </w:rPr>
        <w:t xml:space="preserve"> ensures that as the State consolidates resources for affordable housing development, the most vulnerable populations will not be left behind.</w:t>
      </w:r>
      <w:r>
        <w:rPr>
          <w:rFonts w:ascii="Times New Roman" w:hAnsi="Times New Roman"/>
        </w:rPr>
        <w:t xml:space="preserve"> </w:t>
      </w:r>
      <w:r w:rsidRPr="00AB332C">
        <w:rPr>
          <w:rFonts w:ascii="Times New Roman" w:hAnsi="Times New Roman"/>
          <w:b/>
        </w:rPr>
        <w:t>SB</w:t>
      </w:r>
      <w:r>
        <w:rPr>
          <w:rFonts w:ascii="Times New Roman" w:hAnsi="Times New Roman"/>
        </w:rPr>
        <w:t xml:space="preserve"> </w:t>
      </w:r>
      <w:r w:rsidRPr="00AB332C">
        <w:rPr>
          <w:rFonts w:ascii="Times New Roman" w:hAnsi="Times New Roman"/>
          <w:b/>
        </w:rPr>
        <w:t>482</w:t>
      </w:r>
      <w:r w:rsidR="00DC0C8F">
        <w:rPr>
          <w:rFonts w:ascii="Times New Roman" w:hAnsi="Times New Roman"/>
        </w:rPr>
        <w:t xml:space="preserve"> </w:t>
      </w:r>
      <w:r w:rsidR="00953325">
        <w:rPr>
          <w:rFonts w:ascii="Times New Roman" w:hAnsi="Times New Roman"/>
        </w:rPr>
        <w:t xml:space="preserve">requires </w:t>
      </w:r>
      <w:r w:rsidRPr="00AB332C">
        <w:rPr>
          <w:rFonts w:ascii="Times New Roman" w:hAnsi="Times New Roman"/>
        </w:rPr>
        <w:t>Housing an</w:t>
      </w:r>
      <w:r w:rsidR="00DC0C8F">
        <w:rPr>
          <w:rFonts w:ascii="Times New Roman" w:hAnsi="Times New Roman"/>
        </w:rPr>
        <w:t>d Community Development (HCD) to</w:t>
      </w:r>
      <w:r w:rsidRPr="00AB332C">
        <w:rPr>
          <w:rFonts w:ascii="Times New Roman" w:hAnsi="Times New Roman"/>
        </w:rPr>
        <w:t xml:space="preserve"> offer capitalized operating subsidy reserves (COSRs) to special needs units funded through the Multifamily Housing Program (MHP).</w:t>
      </w:r>
    </w:p>
    <w:p w14:paraId="464596DD" w14:textId="77777777" w:rsidR="00AB332C" w:rsidRPr="00693998" w:rsidRDefault="00AB332C" w:rsidP="00AB332C">
      <w:pPr>
        <w:pStyle w:val="Heading2"/>
        <w:jc w:val="left"/>
        <w:rPr>
          <w:rFonts w:ascii="Times New Roman" w:hAnsi="Times New Roman" w:cs="Times New Roman"/>
          <w:i w:val="0"/>
          <w:sz w:val="22"/>
          <w:szCs w:val="22"/>
        </w:rPr>
      </w:pPr>
      <w:r w:rsidRPr="00693998">
        <w:rPr>
          <w:rFonts w:ascii="Times New Roman" w:hAnsi="Times New Roman" w:cs="Times New Roman"/>
          <w:i w:val="0"/>
          <w:sz w:val="22"/>
          <w:szCs w:val="22"/>
        </w:rPr>
        <w:t>BACKGROUND</w:t>
      </w:r>
    </w:p>
    <w:p w14:paraId="76B971B3" w14:textId="77777777" w:rsidR="00AB332C" w:rsidRDefault="00AB332C" w:rsidP="00AB332C">
      <w:pPr>
        <w:rPr>
          <w:rFonts w:ascii="Times New Roman" w:hAnsi="Times New Roman"/>
          <w:i/>
          <w:iCs/>
        </w:rPr>
      </w:pPr>
      <w:r w:rsidRPr="00AB332C">
        <w:rPr>
          <w:rFonts w:ascii="Times New Roman" w:hAnsi="Times New Roman"/>
          <w:i/>
          <w:iCs/>
        </w:rPr>
        <w:t>What is a COSR?</w:t>
      </w:r>
    </w:p>
    <w:p w14:paraId="434BE2ED" w14:textId="77777777" w:rsidR="00AB332C" w:rsidRPr="00AB332C" w:rsidRDefault="00AB332C" w:rsidP="00AB332C">
      <w:pPr>
        <w:rPr>
          <w:rFonts w:ascii="Times New Roman" w:hAnsi="Times New Roman"/>
          <w:i/>
          <w:iCs/>
          <w:color w:val="000000" w:themeColor="text1"/>
        </w:rPr>
      </w:pPr>
      <w:r w:rsidRPr="00AB332C">
        <w:rPr>
          <w:rFonts w:ascii="Times New Roman" w:hAnsi="Times New Roman"/>
          <w:color w:val="000000" w:themeColor="text1"/>
        </w:rPr>
        <w:t xml:space="preserve">A capitalized operating subsidy reserve (COSR) is money set aside upfront to cover deficits in annual operating revenues for housing developments, primarily used for permanent supportive housing for extremely low-income (ELI) individuals, those earning 0-30% of the area median income. </w:t>
      </w:r>
    </w:p>
    <w:p w14:paraId="514D8486" w14:textId="77777777" w:rsidR="00AB332C" w:rsidRPr="00AB332C" w:rsidRDefault="00AB332C" w:rsidP="00AB332C">
      <w:pPr>
        <w:rPr>
          <w:rFonts w:ascii="Times New Roman" w:hAnsi="Times New Roman"/>
          <w:i/>
          <w:iCs/>
          <w:color w:val="000000" w:themeColor="text1"/>
        </w:rPr>
      </w:pPr>
      <w:r w:rsidRPr="00AB332C">
        <w:rPr>
          <w:rFonts w:ascii="Times New Roman" w:hAnsi="Times New Roman"/>
          <w:i/>
          <w:iCs/>
          <w:color w:val="000000" w:themeColor="text1"/>
        </w:rPr>
        <w:t>Why are COSRs needed?</w:t>
      </w:r>
    </w:p>
    <w:p w14:paraId="25E1EE22" w14:textId="77777777" w:rsidR="00AB332C" w:rsidRPr="00AB332C" w:rsidRDefault="00AB332C" w:rsidP="00AB332C">
      <w:pPr>
        <w:rPr>
          <w:rFonts w:ascii="Times New Roman" w:hAnsi="Times New Roman"/>
        </w:rPr>
      </w:pPr>
      <w:r w:rsidRPr="00AB332C">
        <w:rPr>
          <w:rFonts w:ascii="Times New Roman" w:hAnsi="Times New Roman"/>
          <w:color w:val="000000" w:themeColor="text1"/>
        </w:rPr>
        <w:t xml:space="preserve">Supportive services help ELI individuals who suffer from homelessness stay stably housed. These supportive services can include intensive case management, medical and mental health care, substance abuse treatment, and employment services. These services are necessary for formerly homeless people to retain housing, improve </w:t>
      </w:r>
      <w:r w:rsidRPr="00AB332C">
        <w:rPr>
          <w:rFonts w:ascii="Times New Roman" w:hAnsi="Times New Roman"/>
        </w:rPr>
        <w:t>their physical and mental health, and live and work in their community.</w:t>
      </w:r>
    </w:p>
    <w:p w14:paraId="677965F1" w14:textId="77777777" w:rsidR="003065FA" w:rsidRPr="00AB332C" w:rsidRDefault="00AB332C" w:rsidP="00AB332C">
      <w:pPr>
        <w:rPr>
          <w:rFonts w:ascii="Times New Roman" w:hAnsi="Times New Roman"/>
        </w:rPr>
      </w:pPr>
      <w:r w:rsidRPr="00AB332C">
        <w:rPr>
          <w:rFonts w:ascii="Times New Roman" w:hAnsi="Times New Roman"/>
        </w:rPr>
        <w:t xml:space="preserve">These services increase the </w:t>
      </w:r>
      <w:r w:rsidR="006D701D">
        <w:rPr>
          <w:rFonts w:ascii="Times New Roman" w:hAnsi="Times New Roman"/>
        </w:rPr>
        <w:t>operating costs for these types</w:t>
      </w:r>
      <w:r w:rsidRPr="00AB332C">
        <w:rPr>
          <w:rFonts w:ascii="Times New Roman" w:hAnsi="Times New Roman"/>
        </w:rPr>
        <w:t xml:space="preserve"> of developments. Because</w:t>
      </w:r>
      <w:r w:rsidR="005A3B9D">
        <w:rPr>
          <w:rFonts w:ascii="Times New Roman" w:hAnsi="Times New Roman"/>
        </w:rPr>
        <w:t xml:space="preserve"> the rents </w:t>
      </w:r>
      <w:r w:rsidRPr="00AB332C">
        <w:rPr>
          <w:rFonts w:ascii="Times New Roman" w:hAnsi="Times New Roman"/>
        </w:rPr>
        <w:t xml:space="preserve">are so low and </w:t>
      </w:r>
      <w:r w:rsidR="005A3B9D">
        <w:rPr>
          <w:rFonts w:ascii="Times New Roman" w:hAnsi="Times New Roman"/>
        </w:rPr>
        <w:t xml:space="preserve">the operating costs are higher, </w:t>
      </w:r>
      <w:r w:rsidRPr="00AB332C">
        <w:rPr>
          <w:rFonts w:ascii="Times New Roman" w:hAnsi="Times New Roman"/>
        </w:rPr>
        <w:t>these developments often need a significant subsidy to pencil out. These COSRs provide this subsid</w:t>
      </w:r>
      <w:r w:rsidR="009956B8">
        <w:rPr>
          <w:rFonts w:ascii="Times New Roman" w:hAnsi="Times New Roman"/>
        </w:rPr>
        <w:t>y upfront to cover 15-20 years’</w:t>
      </w:r>
      <w:r w:rsidR="009956B8" w:rsidRPr="00AB332C">
        <w:rPr>
          <w:rFonts w:ascii="Times New Roman" w:hAnsi="Times New Roman"/>
        </w:rPr>
        <w:t xml:space="preserve"> worth</w:t>
      </w:r>
      <w:r w:rsidRPr="00AB332C">
        <w:rPr>
          <w:rFonts w:ascii="Times New Roman" w:hAnsi="Times New Roman"/>
        </w:rPr>
        <w:t xml:space="preserve"> of deficits. If a COSR is appropriated, the account is with HCD and HCD approves disbursements as needed. </w:t>
      </w:r>
      <w:r w:rsidR="0074002A">
        <w:rPr>
          <w:rFonts w:ascii="Times New Roman" w:hAnsi="Times New Roman"/>
        </w:rPr>
        <w:t xml:space="preserve">Banks need to see that developers have these operating costs set aside before financing is approved. </w:t>
      </w:r>
    </w:p>
    <w:p w14:paraId="3748B55A" w14:textId="77777777" w:rsidR="00AB332C" w:rsidRPr="00DB513F" w:rsidRDefault="00AB332C" w:rsidP="00AB332C">
      <w:pPr>
        <w:pStyle w:val="Heading2"/>
        <w:jc w:val="left"/>
        <w:rPr>
          <w:rFonts w:ascii="Times New Roman" w:hAnsi="Times New Roman" w:cs="Times New Roman"/>
          <w:i w:val="0"/>
          <w:sz w:val="22"/>
          <w:szCs w:val="22"/>
        </w:rPr>
      </w:pPr>
      <w:r w:rsidRPr="00DB513F">
        <w:rPr>
          <w:rFonts w:ascii="Times New Roman" w:hAnsi="Times New Roman" w:cs="Times New Roman"/>
          <w:i w:val="0"/>
          <w:sz w:val="22"/>
          <w:szCs w:val="22"/>
        </w:rPr>
        <w:t xml:space="preserve">THE PROBLEM </w:t>
      </w:r>
    </w:p>
    <w:p w14:paraId="7B621FA0" w14:textId="77777777" w:rsidR="00AB332C" w:rsidRPr="00AB332C" w:rsidRDefault="00AB332C" w:rsidP="00AB332C">
      <w:pPr>
        <w:rPr>
          <w:rFonts w:ascii="Times New Roman" w:hAnsi="Times New Roman"/>
        </w:rPr>
      </w:pPr>
      <w:r w:rsidRPr="00AB332C">
        <w:rPr>
          <w:rFonts w:ascii="Times New Roman" w:hAnsi="Times New Roman"/>
        </w:rPr>
        <w:t xml:space="preserve">HCD has offered COSRs before in programs like No Place Like Home and the Veterans Housing and Homelessness Prevention Program. However, the State is consolidating funding so that developers do not need to apply </w:t>
      </w:r>
      <w:r w:rsidR="00E96FF1">
        <w:rPr>
          <w:rFonts w:ascii="Times New Roman" w:hAnsi="Times New Roman"/>
        </w:rPr>
        <w:t xml:space="preserve">for multiple sources of funding, </w:t>
      </w:r>
      <w:r w:rsidRPr="00AB332C">
        <w:rPr>
          <w:rFonts w:ascii="Times New Roman" w:hAnsi="Times New Roman"/>
        </w:rPr>
        <w:t xml:space="preserve">which saves time and money. The flagship program HCD offers is MHP. This bill would explicitly require MHP to fund COSRs for special needs units </w:t>
      </w:r>
      <w:r w:rsidR="0074002A">
        <w:rPr>
          <w:rFonts w:ascii="Times New Roman" w:hAnsi="Times New Roman"/>
        </w:rPr>
        <w:t>so that as the S</w:t>
      </w:r>
      <w:r w:rsidRPr="00AB332C">
        <w:rPr>
          <w:rFonts w:ascii="Times New Roman" w:hAnsi="Times New Roman"/>
        </w:rPr>
        <w:t xml:space="preserve">tate streamlines funding we can continue to help our ELI neighbors.  </w:t>
      </w:r>
    </w:p>
    <w:p w14:paraId="7E642679" w14:textId="77777777" w:rsidR="00AB332C" w:rsidRPr="00AB332C" w:rsidRDefault="00AB332C" w:rsidP="00AB332C">
      <w:pPr>
        <w:rPr>
          <w:rFonts w:ascii="Times New Roman" w:hAnsi="Times New Roman"/>
          <w:i/>
          <w:iCs/>
        </w:rPr>
      </w:pPr>
      <w:r w:rsidRPr="00AB332C">
        <w:rPr>
          <w:rFonts w:ascii="Times New Roman" w:hAnsi="Times New Roman"/>
          <w:i/>
          <w:iCs/>
        </w:rPr>
        <w:t>An Example</w:t>
      </w:r>
    </w:p>
    <w:p w14:paraId="6324D8C8" w14:textId="77777777" w:rsidR="00AB332C" w:rsidRPr="00AB332C" w:rsidRDefault="00AB332C" w:rsidP="00AB332C">
      <w:r w:rsidRPr="00AB332C">
        <w:rPr>
          <w:rFonts w:ascii="Times New Roman" w:hAnsi="Times New Roman"/>
        </w:rPr>
        <w:t>Windsor Pointe is a development in Carlsbad, CA that offers supportive housing. The complex has 48 units in total where half of the units are for individuals and families who are homeless or near ho</w:t>
      </w:r>
      <w:r w:rsidR="0074002A">
        <w:rPr>
          <w:rFonts w:ascii="Times New Roman" w:hAnsi="Times New Roman"/>
        </w:rPr>
        <w:t xml:space="preserve">meless with a prioritization for </w:t>
      </w:r>
      <w:r w:rsidRPr="00AB332C">
        <w:rPr>
          <w:rFonts w:ascii="Times New Roman" w:hAnsi="Times New Roman"/>
        </w:rPr>
        <w:t xml:space="preserve">veterans and their families. Some of the supportive services that residents have access to </w:t>
      </w:r>
      <w:r w:rsidR="0074002A">
        <w:rPr>
          <w:rFonts w:ascii="Times New Roman" w:hAnsi="Times New Roman"/>
        </w:rPr>
        <w:t xml:space="preserve">include </w:t>
      </w:r>
      <w:r w:rsidRPr="00AB332C">
        <w:rPr>
          <w:rFonts w:ascii="Times New Roman" w:hAnsi="Times New Roman"/>
        </w:rPr>
        <w:t xml:space="preserve">case workers, adult education, mental wellness, and career building. Part of the funding for this development is </w:t>
      </w:r>
      <w:r w:rsidRPr="00DC0C8F">
        <w:rPr>
          <w:rFonts w:ascii="Times New Roman" w:hAnsi="Times New Roman"/>
        </w:rPr>
        <w:t xml:space="preserve">through No Place Like Home, </w:t>
      </w:r>
      <w:r w:rsidR="00DC0C8F" w:rsidRPr="00DC0C8F">
        <w:rPr>
          <w:rStyle w:val="contentpasted0"/>
          <w:rFonts w:ascii="Times New Roman" w:eastAsia="Times New Roman" w:hAnsi="Times New Roman"/>
          <w:color w:val="000000"/>
          <w:shd w:val="clear" w:color="auto" w:fill="FFFFFF"/>
        </w:rPr>
        <w:t>which</w:t>
      </w:r>
      <w:r w:rsidR="00DC0C8F">
        <w:rPr>
          <w:rStyle w:val="contentpasted0"/>
          <w:rFonts w:ascii="Times New Roman" w:eastAsia="Times New Roman" w:hAnsi="Times New Roman"/>
          <w:color w:val="000000"/>
          <w:shd w:val="clear" w:color="auto" w:fill="FFFFFF"/>
        </w:rPr>
        <w:t xml:space="preserve"> gave Windsor Pointe </w:t>
      </w:r>
      <w:r w:rsidR="00DC0C8F" w:rsidRPr="00DC0C8F">
        <w:rPr>
          <w:rStyle w:val="contentpasted0"/>
          <w:rFonts w:ascii="Times New Roman" w:eastAsia="Times New Roman" w:hAnsi="Times New Roman"/>
          <w:color w:val="000000"/>
          <w:shd w:val="clear" w:color="auto" w:fill="FFFFFF"/>
        </w:rPr>
        <w:t xml:space="preserve">a COSR of </w:t>
      </w:r>
      <w:r w:rsidR="00DC0C8F" w:rsidRPr="007D0DA8">
        <w:rPr>
          <w:rStyle w:val="contentpasted0"/>
          <w:rFonts w:ascii="Times New Roman" w:eastAsia="Times New Roman" w:hAnsi="Times New Roman"/>
          <w:color w:val="000000" w:themeColor="text1"/>
          <w:shd w:val="clear" w:color="auto" w:fill="FFFFFF"/>
        </w:rPr>
        <w:lastRenderedPageBreak/>
        <w:t xml:space="preserve">$4,875,000. Unfortunately, the No Place Like Home Program </w:t>
      </w:r>
      <w:r w:rsidRPr="007D0DA8">
        <w:rPr>
          <w:rFonts w:ascii="Times New Roman" w:hAnsi="Times New Roman"/>
          <w:color w:val="000000" w:themeColor="text1"/>
        </w:rPr>
        <w:t xml:space="preserve">is running out of funds. As the state transitions future supportive housing developments for the homeless to </w:t>
      </w:r>
      <w:r w:rsidR="009956B8">
        <w:rPr>
          <w:rFonts w:ascii="Times New Roman" w:hAnsi="Times New Roman"/>
          <w:color w:val="000000" w:themeColor="text1"/>
        </w:rPr>
        <w:t xml:space="preserve">MHP, we want to ensure that these developments </w:t>
      </w:r>
      <w:r w:rsidRPr="007D0DA8">
        <w:rPr>
          <w:rFonts w:ascii="Times New Roman" w:hAnsi="Times New Roman"/>
          <w:color w:val="000000" w:themeColor="text1"/>
        </w:rPr>
        <w:t xml:space="preserve">continue to get the funding </w:t>
      </w:r>
      <w:r w:rsidR="009956B8">
        <w:rPr>
          <w:rFonts w:ascii="Times New Roman" w:hAnsi="Times New Roman"/>
          <w:color w:val="000000" w:themeColor="text1"/>
        </w:rPr>
        <w:t xml:space="preserve">needed to allow developers to build them. </w:t>
      </w:r>
    </w:p>
    <w:p w14:paraId="179D4EFE" w14:textId="77777777" w:rsidR="00AB332C" w:rsidRDefault="00AB332C" w:rsidP="00AB332C">
      <w:pPr>
        <w:pBdr>
          <w:bottom w:val="single" w:sz="6" w:space="1" w:color="auto"/>
        </w:pBdr>
        <w:spacing w:after="0" w:line="240" w:lineRule="auto"/>
        <w:rPr>
          <w:rFonts w:ascii="Times New Roman" w:hAnsi="Times New Roman"/>
          <w:b/>
        </w:rPr>
      </w:pPr>
      <w:r w:rsidRPr="00DB513F">
        <w:rPr>
          <w:rFonts w:ascii="Times New Roman" w:hAnsi="Times New Roman"/>
          <w:b/>
        </w:rPr>
        <w:t>THE SOLUTION</w:t>
      </w:r>
    </w:p>
    <w:p w14:paraId="08EC340D" w14:textId="77777777" w:rsidR="00AB332C" w:rsidRPr="00AB332C" w:rsidRDefault="00AB332C" w:rsidP="00AB332C">
      <w:pPr>
        <w:rPr>
          <w:rFonts w:ascii="Times New Roman" w:hAnsi="Times New Roman"/>
        </w:rPr>
      </w:pPr>
      <w:r w:rsidRPr="00AB332C">
        <w:rPr>
          <w:rFonts w:ascii="Times New Roman" w:hAnsi="Times New Roman"/>
          <w:b/>
        </w:rPr>
        <w:t>SB 482</w:t>
      </w:r>
      <w:r w:rsidRPr="00AB332C">
        <w:rPr>
          <w:rFonts w:ascii="Times New Roman" w:hAnsi="Times New Roman"/>
        </w:rPr>
        <w:t xml:space="preserve"> ensures that the state’s flagship housing program, MHP, will fund operating reserves (COSRs) that are used to fund resources to help homeless individuals live a fuller life and to ensure developers can still put these important projects forward that need assistance in order to be viable. </w:t>
      </w:r>
    </w:p>
    <w:p w14:paraId="68959F07" w14:textId="77777777" w:rsidR="00AB332C" w:rsidRDefault="00AB332C" w:rsidP="00AB332C">
      <w:pPr>
        <w:pBdr>
          <w:bottom w:val="single" w:sz="6" w:space="1" w:color="auto"/>
        </w:pBdr>
        <w:spacing w:after="0" w:line="240" w:lineRule="auto"/>
        <w:rPr>
          <w:rFonts w:ascii="Times New Roman" w:hAnsi="Times New Roman"/>
          <w:b/>
        </w:rPr>
      </w:pPr>
      <w:r w:rsidRPr="00DB513F">
        <w:rPr>
          <w:rFonts w:ascii="Times New Roman" w:hAnsi="Times New Roman"/>
          <w:b/>
        </w:rPr>
        <w:t>SUPPORT</w:t>
      </w:r>
    </w:p>
    <w:p w14:paraId="4F02B43F" w14:textId="77777777" w:rsidR="00AB332C" w:rsidRPr="00AB332C" w:rsidRDefault="00AB332C" w:rsidP="00AB332C">
      <w:pPr>
        <w:spacing w:after="0" w:line="240" w:lineRule="auto"/>
        <w:rPr>
          <w:rFonts w:ascii="Times New Roman" w:hAnsi="Times New Roman"/>
        </w:rPr>
      </w:pPr>
      <w:r w:rsidRPr="00AB332C">
        <w:rPr>
          <w:rFonts w:ascii="Times New Roman" w:hAnsi="Times New Roman"/>
        </w:rPr>
        <w:t>California Housing Partnership (sponsor)</w:t>
      </w:r>
    </w:p>
    <w:p w14:paraId="35C9B386" w14:textId="77777777" w:rsidR="00AB332C" w:rsidRDefault="00AB332C" w:rsidP="00AB332C">
      <w:pPr>
        <w:spacing w:after="0" w:line="240" w:lineRule="auto"/>
        <w:rPr>
          <w:rFonts w:ascii="Times New Roman" w:hAnsi="Times New Roman"/>
        </w:rPr>
      </w:pPr>
    </w:p>
    <w:p w14:paraId="15F8DEF8" w14:textId="77777777" w:rsidR="00AB332C" w:rsidRDefault="00AB332C" w:rsidP="00AB332C">
      <w:pPr>
        <w:spacing w:after="0" w:line="240" w:lineRule="auto"/>
        <w:rPr>
          <w:rFonts w:ascii="Times New Roman" w:hAnsi="Times New Roman"/>
        </w:rPr>
      </w:pPr>
    </w:p>
    <w:p w14:paraId="078E87EB" w14:textId="77777777" w:rsidR="00AB332C" w:rsidRDefault="00AB332C" w:rsidP="00AB332C">
      <w:pPr>
        <w:pStyle w:val="Heading2"/>
        <w:jc w:val="left"/>
        <w:rPr>
          <w:rFonts w:ascii="Times New Roman" w:hAnsi="Times New Roman" w:cs="Times New Roman"/>
          <w:i w:val="0"/>
          <w:sz w:val="24"/>
          <w:szCs w:val="24"/>
        </w:rPr>
      </w:pPr>
    </w:p>
    <w:p w14:paraId="02010237" w14:textId="77777777" w:rsidR="00AB332C" w:rsidRPr="009C4E4B" w:rsidRDefault="00AB332C" w:rsidP="00AB332C">
      <w:pPr>
        <w:pStyle w:val="Heading2"/>
        <w:jc w:val="left"/>
        <w:rPr>
          <w:rFonts w:ascii="Times New Roman" w:hAnsi="Times New Roman" w:cs="Times New Roman"/>
          <w:i w:val="0"/>
          <w:sz w:val="22"/>
          <w:szCs w:val="22"/>
        </w:rPr>
      </w:pPr>
      <w:r w:rsidRPr="009C4E4B">
        <w:rPr>
          <w:rFonts w:ascii="Times New Roman" w:hAnsi="Times New Roman" w:cs="Times New Roman"/>
          <w:i w:val="0"/>
          <w:sz w:val="22"/>
          <w:szCs w:val="22"/>
        </w:rPr>
        <w:t>STAFF CONTACT</w:t>
      </w:r>
    </w:p>
    <w:p w14:paraId="7BBEA229" w14:textId="77777777" w:rsidR="00AB332C" w:rsidRDefault="00AB332C" w:rsidP="009F109B">
      <w:pPr>
        <w:spacing w:after="0" w:line="240" w:lineRule="auto"/>
        <w:rPr>
          <w:rFonts w:ascii="Times New Roman" w:hAnsi="Times New Roman"/>
        </w:rPr>
      </w:pPr>
      <w:r>
        <w:rPr>
          <w:rFonts w:ascii="Times New Roman" w:hAnsi="Times New Roman"/>
        </w:rPr>
        <w:t xml:space="preserve">Lauren Rebrovich </w:t>
      </w:r>
    </w:p>
    <w:p w14:paraId="5B600937" w14:textId="77777777" w:rsidR="00AB332C" w:rsidRDefault="00AB332C" w:rsidP="009F109B">
      <w:pPr>
        <w:spacing w:after="0" w:line="240" w:lineRule="auto"/>
        <w:rPr>
          <w:rFonts w:ascii="Times New Roman" w:hAnsi="Times New Roman"/>
        </w:rPr>
      </w:pPr>
      <w:r>
        <w:rPr>
          <w:rFonts w:ascii="Times New Roman" w:hAnsi="Times New Roman"/>
        </w:rPr>
        <w:t>(916) 651-4558</w:t>
      </w:r>
    </w:p>
    <w:p w14:paraId="0E4E5960" w14:textId="77777777" w:rsidR="00AB332C" w:rsidRPr="00AB332C" w:rsidRDefault="00000000" w:rsidP="009F109B">
      <w:pPr>
        <w:spacing w:after="0" w:line="240" w:lineRule="auto"/>
        <w:rPr>
          <w:rFonts w:ascii="Times New Roman" w:hAnsi="Times New Roman"/>
        </w:rPr>
      </w:pPr>
      <w:hyperlink r:id="rId8" w:history="1">
        <w:r w:rsidR="00AB332C" w:rsidRPr="00C809EB">
          <w:rPr>
            <w:rStyle w:val="Hyperlink"/>
            <w:rFonts w:ascii="Times New Roman" w:hAnsi="Times New Roman"/>
          </w:rPr>
          <w:t>Lauren.rebrovich@sen.ca.gov</w:t>
        </w:r>
      </w:hyperlink>
      <w:r w:rsidR="00AB332C">
        <w:rPr>
          <w:rFonts w:ascii="Times New Roman" w:hAnsi="Times New Roman"/>
        </w:rPr>
        <w:t xml:space="preserve"> </w:t>
      </w:r>
    </w:p>
    <w:p w14:paraId="6EC77BE8" w14:textId="77777777" w:rsidR="00DA704F" w:rsidRDefault="00DA704F"/>
    <w:sectPr w:rsidR="00DA704F" w:rsidSect="001A2A29">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9CC69" w14:textId="77777777" w:rsidR="008F2FB9" w:rsidRDefault="008F2FB9">
      <w:pPr>
        <w:spacing w:after="0" w:line="240" w:lineRule="auto"/>
      </w:pPr>
      <w:r>
        <w:separator/>
      </w:r>
    </w:p>
  </w:endnote>
  <w:endnote w:type="continuationSeparator" w:id="0">
    <w:p w14:paraId="4C7A227A" w14:textId="77777777" w:rsidR="008F2FB9" w:rsidRDefault="008F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2555C" w14:textId="77777777" w:rsidR="008F2FB9" w:rsidRDefault="008F2FB9">
      <w:pPr>
        <w:spacing w:after="0" w:line="240" w:lineRule="auto"/>
      </w:pPr>
      <w:r>
        <w:separator/>
      </w:r>
    </w:p>
  </w:footnote>
  <w:footnote w:type="continuationSeparator" w:id="0">
    <w:p w14:paraId="2AA6DF6B" w14:textId="77777777" w:rsidR="008F2FB9" w:rsidRDefault="008F2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71F8" w14:textId="77777777" w:rsidR="00DB513F" w:rsidRDefault="0074002A">
    <w:pPr>
      <w:pStyle w:val="Header"/>
    </w:pPr>
    <w:r w:rsidRPr="00DB513F">
      <w:rPr>
        <w:noProof/>
      </w:rPr>
      <w:drawing>
        <wp:inline distT="0" distB="0" distL="0" distR="0" wp14:anchorId="31C66E7D" wp14:editId="24897DB0">
          <wp:extent cx="5943600" cy="1399815"/>
          <wp:effectExtent l="0" t="0" r="0" b="0"/>
          <wp:docPr id="1" name="Picture 1" descr="S:\S38\Templates\SD 38 EMail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38\Templates\SD 38 EMail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99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5DBD"/>
    <w:multiLevelType w:val="hybridMultilevel"/>
    <w:tmpl w:val="EDD0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5740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32C"/>
    <w:rsid w:val="000D78BB"/>
    <w:rsid w:val="001A2A29"/>
    <w:rsid w:val="0020282A"/>
    <w:rsid w:val="003065FA"/>
    <w:rsid w:val="005A3B9D"/>
    <w:rsid w:val="005B5419"/>
    <w:rsid w:val="00642862"/>
    <w:rsid w:val="006D701D"/>
    <w:rsid w:val="0074002A"/>
    <w:rsid w:val="007D0DA8"/>
    <w:rsid w:val="008F2FB9"/>
    <w:rsid w:val="00953325"/>
    <w:rsid w:val="009956B8"/>
    <w:rsid w:val="009F109B"/>
    <w:rsid w:val="00AB332C"/>
    <w:rsid w:val="00B757B7"/>
    <w:rsid w:val="00DA704F"/>
    <w:rsid w:val="00DC0C8F"/>
    <w:rsid w:val="00E9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43EA"/>
  <w15:chartTrackingRefBased/>
  <w15:docId w15:val="{C6E4375B-8176-406F-A27E-108CC79F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32C"/>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AB332C"/>
    <w:pPr>
      <w:keepNext/>
      <w:pBdr>
        <w:bottom w:val="single" w:sz="6" w:space="1" w:color="auto"/>
      </w:pBdr>
      <w:spacing w:after="0" w:line="240" w:lineRule="auto"/>
      <w:jc w:val="center"/>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
    <w:unhideWhenUsed/>
    <w:qFormat/>
    <w:rsid w:val="005A3B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332C"/>
    <w:rPr>
      <w:rFonts w:ascii="Cambria" w:eastAsia="Times New Roman" w:hAnsi="Cambria" w:cs="Cambria"/>
      <w:b/>
      <w:bCs/>
      <w:i/>
      <w:iCs/>
      <w:sz w:val="28"/>
      <w:szCs w:val="28"/>
    </w:rPr>
  </w:style>
  <w:style w:type="paragraph" w:styleId="Header">
    <w:name w:val="header"/>
    <w:basedOn w:val="Normal"/>
    <w:link w:val="HeaderChar"/>
    <w:uiPriority w:val="99"/>
    <w:unhideWhenUsed/>
    <w:rsid w:val="00AB3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32C"/>
    <w:rPr>
      <w:rFonts w:ascii="Calibri" w:eastAsia="Calibri" w:hAnsi="Calibri" w:cs="Times New Roman"/>
    </w:rPr>
  </w:style>
  <w:style w:type="paragraph" w:styleId="Subtitle">
    <w:name w:val="Subtitle"/>
    <w:basedOn w:val="Normal"/>
    <w:next w:val="Normal"/>
    <w:link w:val="SubtitleChar"/>
    <w:uiPriority w:val="11"/>
    <w:qFormat/>
    <w:rsid w:val="00AB332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B332C"/>
    <w:rPr>
      <w:rFonts w:eastAsiaTheme="minorEastAsia"/>
      <w:color w:val="5A5A5A" w:themeColor="text1" w:themeTint="A5"/>
      <w:spacing w:val="15"/>
    </w:rPr>
  </w:style>
  <w:style w:type="paragraph" w:styleId="ListParagraph">
    <w:name w:val="List Paragraph"/>
    <w:basedOn w:val="Normal"/>
    <w:uiPriority w:val="34"/>
    <w:qFormat/>
    <w:rsid w:val="00AB332C"/>
    <w:pPr>
      <w:ind w:left="720"/>
      <w:contextualSpacing/>
    </w:pPr>
  </w:style>
  <w:style w:type="character" w:styleId="Hyperlink">
    <w:name w:val="Hyperlink"/>
    <w:basedOn w:val="DefaultParagraphFont"/>
    <w:uiPriority w:val="99"/>
    <w:unhideWhenUsed/>
    <w:rsid w:val="00AB332C"/>
    <w:rPr>
      <w:color w:val="0563C1" w:themeColor="hyperlink"/>
      <w:u w:val="single"/>
    </w:rPr>
  </w:style>
  <w:style w:type="paragraph" w:styleId="BalloonText">
    <w:name w:val="Balloon Text"/>
    <w:basedOn w:val="Normal"/>
    <w:link w:val="BalloonTextChar"/>
    <w:uiPriority w:val="99"/>
    <w:semiHidden/>
    <w:unhideWhenUsed/>
    <w:rsid w:val="009F1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09B"/>
    <w:rPr>
      <w:rFonts w:ascii="Segoe UI" w:eastAsia="Calibri" w:hAnsi="Segoe UI" w:cs="Segoe UI"/>
      <w:sz w:val="18"/>
      <w:szCs w:val="18"/>
    </w:rPr>
  </w:style>
  <w:style w:type="character" w:customStyle="1" w:styleId="contentpasted0">
    <w:name w:val="contentpasted0"/>
    <w:basedOn w:val="DefaultParagraphFont"/>
    <w:rsid w:val="00DC0C8F"/>
  </w:style>
  <w:style w:type="character" w:styleId="SubtleEmphasis">
    <w:name w:val="Subtle Emphasis"/>
    <w:basedOn w:val="DefaultParagraphFont"/>
    <w:uiPriority w:val="19"/>
    <w:qFormat/>
    <w:rsid w:val="005A3B9D"/>
    <w:rPr>
      <w:i/>
      <w:iCs/>
      <w:color w:val="404040" w:themeColor="text1" w:themeTint="BF"/>
    </w:rPr>
  </w:style>
  <w:style w:type="character" w:styleId="Emphasis">
    <w:name w:val="Emphasis"/>
    <w:basedOn w:val="DefaultParagraphFont"/>
    <w:uiPriority w:val="20"/>
    <w:qFormat/>
    <w:rsid w:val="005A3B9D"/>
    <w:rPr>
      <w:i/>
      <w:iCs/>
    </w:rPr>
  </w:style>
  <w:style w:type="character" w:styleId="IntenseEmphasis">
    <w:name w:val="Intense Emphasis"/>
    <w:basedOn w:val="DefaultParagraphFont"/>
    <w:uiPriority w:val="21"/>
    <w:qFormat/>
    <w:rsid w:val="005A3B9D"/>
    <w:rPr>
      <w:i/>
      <w:iCs/>
      <w:color w:val="5B9BD5" w:themeColor="accent1"/>
    </w:rPr>
  </w:style>
  <w:style w:type="paragraph" w:styleId="NoSpacing">
    <w:name w:val="No Spacing"/>
    <w:uiPriority w:val="1"/>
    <w:qFormat/>
    <w:rsid w:val="005A3B9D"/>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5A3B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3B9D"/>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5A3B9D"/>
    <w:rPr>
      <w:b/>
      <w:bCs/>
      <w:i/>
      <w:iCs/>
      <w:spacing w:val="5"/>
    </w:rPr>
  </w:style>
  <w:style w:type="character" w:styleId="SubtleReference">
    <w:name w:val="Subtle Reference"/>
    <w:basedOn w:val="DefaultParagraphFont"/>
    <w:uiPriority w:val="31"/>
    <w:qFormat/>
    <w:rsid w:val="005A3B9D"/>
    <w:rPr>
      <w:smallCaps/>
      <w:color w:val="5A5A5A" w:themeColor="text1" w:themeTint="A5"/>
    </w:rPr>
  </w:style>
  <w:style w:type="paragraph" w:styleId="Quote">
    <w:name w:val="Quote"/>
    <w:basedOn w:val="Normal"/>
    <w:next w:val="Normal"/>
    <w:link w:val="QuoteChar"/>
    <w:uiPriority w:val="29"/>
    <w:qFormat/>
    <w:rsid w:val="005A3B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A3B9D"/>
    <w:rPr>
      <w:rFonts w:ascii="Calibri" w:eastAsia="Calibri" w:hAnsi="Calibri" w:cs="Times New Roman"/>
      <w:i/>
      <w:iCs/>
      <w:color w:val="404040" w:themeColor="text1" w:themeTint="BF"/>
    </w:rPr>
  </w:style>
  <w:style w:type="character" w:styleId="Strong">
    <w:name w:val="Strong"/>
    <w:basedOn w:val="DefaultParagraphFont"/>
    <w:uiPriority w:val="22"/>
    <w:qFormat/>
    <w:rsid w:val="005A3B9D"/>
    <w:rPr>
      <w:b/>
      <w:bCs/>
    </w:rPr>
  </w:style>
  <w:style w:type="character" w:customStyle="1" w:styleId="Heading3Char">
    <w:name w:val="Heading 3 Char"/>
    <w:basedOn w:val="DefaultParagraphFont"/>
    <w:link w:val="Heading3"/>
    <w:uiPriority w:val="9"/>
    <w:rsid w:val="005A3B9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rebrovich@sen.ca.gov"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Rebrovich, Lauren</dc:creator>
  <cp:keywords/>
  <dc:description/>
  <cp:lastModifiedBy>Andrew Dawson</cp:lastModifiedBy>
  <cp:revision>2</cp:revision>
  <cp:lastPrinted>2023-02-15T19:53:00Z</cp:lastPrinted>
  <dcterms:created xsi:type="dcterms:W3CDTF">2023-02-21T18:15:00Z</dcterms:created>
  <dcterms:modified xsi:type="dcterms:W3CDTF">2023-02-21T18:15:00Z</dcterms:modified>
</cp:coreProperties>
</file>