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C2084" w14:textId="082C7F58" w:rsidR="009C1308" w:rsidRPr="00417745" w:rsidRDefault="004E429C" w:rsidP="004E429C">
      <w:pPr>
        <w:jc w:val="center"/>
        <w:rPr>
          <w:rFonts w:ascii="Garamond" w:hAnsi="Garamond"/>
          <w:szCs w:val="24"/>
          <w:highlight w:val="yellow"/>
        </w:rPr>
      </w:pPr>
      <w:r w:rsidRPr="00417745">
        <w:rPr>
          <w:rFonts w:ascii="Garamond" w:eastAsia="Times New Roman" w:hAnsi="Garamond"/>
          <w:b/>
          <w:sz w:val="24"/>
          <w:szCs w:val="24"/>
          <w:highlight w:val="yellow"/>
        </w:rPr>
        <w:t>PLEASE ADD YOUR LETTERHEAD AND SEND EMAIL T</w:t>
      </w:r>
      <w:r w:rsidRPr="00B62096">
        <w:rPr>
          <w:rFonts w:ascii="Garamond" w:eastAsia="Times New Roman" w:hAnsi="Garamond"/>
          <w:b/>
          <w:sz w:val="24"/>
          <w:szCs w:val="24"/>
          <w:highlight w:val="yellow"/>
        </w:rPr>
        <w:t xml:space="preserve">O </w:t>
      </w:r>
      <w:hyperlink r:id="rId6" w:history="1">
        <w:r w:rsidR="00B62096" w:rsidRPr="00B62096">
          <w:rPr>
            <w:rStyle w:val="Hyperlink"/>
            <w:rFonts w:ascii="Garamond" w:eastAsia="Times New Roman" w:hAnsi="Garamond"/>
            <w:b/>
            <w:sz w:val="24"/>
            <w:szCs w:val="24"/>
            <w:highlight w:val="yellow"/>
          </w:rPr>
          <w:t>linda.rios@asm.ca.gov</w:t>
        </w:r>
      </w:hyperlink>
      <w:r w:rsidR="00B62096" w:rsidRPr="00B62096">
        <w:rPr>
          <w:rFonts w:ascii="Garamond" w:eastAsia="Times New Roman" w:hAnsi="Garamond"/>
          <w:b/>
          <w:sz w:val="24"/>
          <w:szCs w:val="24"/>
          <w:highlight w:val="yellow"/>
        </w:rPr>
        <w:t xml:space="preserve"> </w:t>
      </w:r>
      <w:r w:rsidRPr="00B62096">
        <w:rPr>
          <w:rFonts w:ascii="Garamond" w:eastAsia="Times New Roman" w:hAnsi="Garamond"/>
          <w:b/>
          <w:sz w:val="24"/>
          <w:szCs w:val="24"/>
          <w:highlight w:val="yellow"/>
        </w:rPr>
        <w:t xml:space="preserve">and SUBMIT TO </w:t>
      </w:r>
      <w:hyperlink r:id="rId7" w:history="1">
        <w:r w:rsidRPr="00B62096">
          <w:rPr>
            <w:rStyle w:val="Hyperlink"/>
            <w:rFonts w:ascii="Garamond" w:hAnsi="Garamond"/>
            <w:szCs w:val="24"/>
            <w:highlight w:val="yellow"/>
          </w:rPr>
          <w:t>https://calegislation.lc.ca.gov/Advocates/</w:t>
        </w:r>
      </w:hyperlink>
    </w:p>
    <w:p w14:paraId="7FA85199" w14:textId="77777777" w:rsidR="009C1308" w:rsidRPr="00417745" w:rsidRDefault="009C1308">
      <w:pPr>
        <w:spacing w:line="240" w:lineRule="auto"/>
        <w:rPr>
          <w:rFonts w:ascii="Garamond" w:eastAsia="Garamond" w:hAnsi="Garamond" w:cs="Garamond"/>
          <w:sz w:val="24"/>
          <w:szCs w:val="24"/>
          <w:highlight w:val="yellow"/>
        </w:rPr>
      </w:pPr>
    </w:p>
    <w:p w14:paraId="774F5F47" w14:textId="291186A4" w:rsidR="009C1308" w:rsidRPr="00417745" w:rsidRDefault="004E429C">
      <w:pPr>
        <w:spacing w:line="240" w:lineRule="auto"/>
        <w:rPr>
          <w:rFonts w:ascii="Garamond" w:eastAsia="Garamond" w:hAnsi="Garamond" w:cs="Garamond"/>
          <w:sz w:val="24"/>
          <w:szCs w:val="24"/>
        </w:rPr>
      </w:pPr>
      <w:r w:rsidRPr="00417745">
        <w:rPr>
          <w:rFonts w:ascii="Garamond" w:eastAsia="Garamond" w:hAnsi="Garamond" w:cs="Garamond"/>
          <w:sz w:val="24"/>
          <w:szCs w:val="24"/>
          <w:highlight w:val="yellow"/>
        </w:rPr>
        <w:t>DATE,</w:t>
      </w:r>
      <w:r w:rsidR="00B62096">
        <w:rPr>
          <w:rFonts w:ascii="Garamond" w:eastAsia="Garamond" w:hAnsi="Garamond" w:cs="Garamond"/>
          <w:sz w:val="24"/>
          <w:szCs w:val="24"/>
        </w:rPr>
        <w:t xml:space="preserve"> 2023</w:t>
      </w:r>
    </w:p>
    <w:p w14:paraId="3B071B02" w14:textId="77777777" w:rsidR="009C1308" w:rsidRPr="00417745" w:rsidRDefault="009C1308">
      <w:pPr>
        <w:spacing w:line="240" w:lineRule="auto"/>
        <w:rPr>
          <w:rFonts w:ascii="Garamond" w:eastAsia="Garamond" w:hAnsi="Garamond" w:cs="Garamond"/>
          <w:sz w:val="24"/>
          <w:szCs w:val="24"/>
        </w:rPr>
      </w:pPr>
    </w:p>
    <w:p w14:paraId="21FE9EF3" w14:textId="77777777" w:rsidR="00B62096" w:rsidRPr="00B62096" w:rsidRDefault="00B62096" w:rsidP="00B62096">
      <w:pPr>
        <w:shd w:val="clear" w:color="auto" w:fill="FFFFFF"/>
        <w:spacing w:line="240" w:lineRule="auto"/>
        <w:rPr>
          <w:rFonts w:ascii="Garamond" w:eastAsia="Calibri" w:hAnsi="Garamond" w:cs="Times New Roman"/>
          <w:sz w:val="24"/>
          <w:szCs w:val="24"/>
          <w:lang w:val="en-US"/>
        </w:rPr>
      </w:pPr>
      <w:r w:rsidRPr="00B62096">
        <w:rPr>
          <w:rFonts w:ascii="Garamond" w:eastAsia="Calibri" w:hAnsi="Garamond" w:cs="Times New Roman"/>
          <w:sz w:val="24"/>
          <w:szCs w:val="24"/>
          <w:lang w:val="en-US"/>
        </w:rPr>
        <w:t>The Honorable Phil Ting</w:t>
      </w:r>
    </w:p>
    <w:p w14:paraId="4024A3D3" w14:textId="77777777" w:rsidR="00B62096" w:rsidRPr="00B62096" w:rsidRDefault="00B62096" w:rsidP="00B62096">
      <w:pPr>
        <w:shd w:val="clear" w:color="auto" w:fill="FFFFFF"/>
        <w:spacing w:line="240" w:lineRule="auto"/>
        <w:rPr>
          <w:rFonts w:ascii="Garamond" w:eastAsia="Calibri" w:hAnsi="Garamond" w:cs="Times New Roman"/>
          <w:sz w:val="24"/>
          <w:szCs w:val="24"/>
          <w:lang w:val="en-US"/>
        </w:rPr>
      </w:pPr>
      <w:r w:rsidRPr="00B62096">
        <w:rPr>
          <w:rFonts w:ascii="Garamond" w:eastAsia="Calibri" w:hAnsi="Garamond" w:cs="Times New Roman"/>
          <w:sz w:val="24"/>
          <w:szCs w:val="24"/>
          <w:lang w:val="en-US"/>
        </w:rPr>
        <w:t xml:space="preserve">California State Assembly </w:t>
      </w:r>
    </w:p>
    <w:p w14:paraId="58AD9D6F" w14:textId="77777777" w:rsidR="00B62096" w:rsidRPr="00B62096" w:rsidRDefault="00B62096" w:rsidP="00B62096">
      <w:pPr>
        <w:shd w:val="clear" w:color="auto" w:fill="FFFFFF"/>
        <w:spacing w:line="240" w:lineRule="auto"/>
        <w:rPr>
          <w:rFonts w:ascii="Garamond" w:eastAsia="Calibri" w:hAnsi="Garamond" w:cs="Times New Roman"/>
          <w:sz w:val="24"/>
          <w:szCs w:val="24"/>
          <w:lang w:val="en-US"/>
        </w:rPr>
      </w:pPr>
      <w:r w:rsidRPr="00B62096">
        <w:rPr>
          <w:rFonts w:ascii="Garamond" w:eastAsia="Calibri" w:hAnsi="Garamond" w:cs="Times New Roman"/>
          <w:sz w:val="24"/>
          <w:szCs w:val="24"/>
          <w:lang w:val="en-US"/>
        </w:rPr>
        <w:t xml:space="preserve">1021 O Street, Suite 8230 </w:t>
      </w:r>
      <w:bookmarkStart w:id="0" w:name="_GoBack"/>
      <w:bookmarkEnd w:id="0"/>
    </w:p>
    <w:p w14:paraId="177D859E" w14:textId="77777777" w:rsidR="00B62096" w:rsidRPr="00B62096" w:rsidRDefault="00B62096" w:rsidP="00B62096">
      <w:pPr>
        <w:shd w:val="clear" w:color="auto" w:fill="FFFFFF"/>
        <w:spacing w:line="240" w:lineRule="auto"/>
        <w:rPr>
          <w:rFonts w:ascii="Garamond" w:eastAsia="Calibri" w:hAnsi="Garamond" w:cs="Times New Roman"/>
          <w:sz w:val="24"/>
          <w:szCs w:val="24"/>
          <w:lang w:val="en-US"/>
        </w:rPr>
      </w:pPr>
      <w:r w:rsidRPr="00B62096">
        <w:rPr>
          <w:rFonts w:ascii="Garamond" w:eastAsia="Calibri" w:hAnsi="Garamond" w:cs="Times New Roman"/>
          <w:sz w:val="24"/>
          <w:szCs w:val="24"/>
          <w:lang w:val="en-US"/>
        </w:rPr>
        <w:t>Sacramento, CA 95814</w:t>
      </w:r>
    </w:p>
    <w:p w14:paraId="4AA7596B" w14:textId="77777777" w:rsidR="009C1308" w:rsidRPr="00417745" w:rsidRDefault="009C1308">
      <w:pPr>
        <w:shd w:val="clear" w:color="auto" w:fill="FFFFFF"/>
        <w:spacing w:line="240" w:lineRule="auto"/>
        <w:rPr>
          <w:rFonts w:ascii="Garamond" w:eastAsia="Garamond" w:hAnsi="Garamond" w:cs="Garamond"/>
          <w:sz w:val="24"/>
          <w:szCs w:val="24"/>
        </w:rPr>
      </w:pPr>
    </w:p>
    <w:p w14:paraId="4E57BDC8" w14:textId="10ACAE24" w:rsidR="009C1308" w:rsidRDefault="00B62096">
      <w:pPr>
        <w:shd w:val="clear" w:color="auto" w:fill="FFFFFF"/>
        <w:spacing w:line="240" w:lineRule="auto"/>
        <w:rPr>
          <w:rFonts w:ascii="Garamond" w:eastAsia="Garamond" w:hAnsi="Garamond" w:cs="Garamond"/>
          <w:b/>
          <w:sz w:val="24"/>
          <w:szCs w:val="24"/>
        </w:rPr>
      </w:pPr>
      <w:r w:rsidRPr="00B62096">
        <w:rPr>
          <w:rFonts w:ascii="Garamond" w:eastAsia="Garamond" w:hAnsi="Garamond" w:cs="Garamond"/>
          <w:b/>
          <w:sz w:val="24"/>
          <w:szCs w:val="24"/>
        </w:rPr>
        <w:t>RE: AB 1633 (TING) HOUSING ACCOUNTABILI</w:t>
      </w:r>
      <w:r>
        <w:rPr>
          <w:rFonts w:ascii="Garamond" w:eastAsia="Garamond" w:hAnsi="Garamond" w:cs="Garamond"/>
          <w:b/>
          <w:sz w:val="24"/>
          <w:szCs w:val="24"/>
        </w:rPr>
        <w:t xml:space="preserve">TY ACT: DISAPPROVALS: CEQA – SUPPORT </w:t>
      </w:r>
    </w:p>
    <w:p w14:paraId="7320DF2F" w14:textId="77777777" w:rsidR="00B62096" w:rsidRPr="00417745" w:rsidRDefault="00B62096">
      <w:pPr>
        <w:shd w:val="clear" w:color="auto" w:fill="FFFFFF"/>
        <w:spacing w:line="240" w:lineRule="auto"/>
        <w:rPr>
          <w:rFonts w:ascii="Garamond" w:eastAsia="Garamond" w:hAnsi="Garamond" w:cs="Garamond"/>
          <w:sz w:val="24"/>
          <w:szCs w:val="24"/>
        </w:rPr>
      </w:pPr>
    </w:p>
    <w:p w14:paraId="17188012" w14:textId="14AB6EDC" w:rsidR="004E429C" w:rsidRPr="00417745" w:rsidRDefault="004E429C">
      <w:pPr>
        <w:shd w:val="clear" w:color="auto" w:fill="FFFFFF"/>
        <w:spacing w:line="240" w:lineRule="auto"/>
        <w:rPr>
          <w:rFonts w:ascii="Garamond" w:eastAsia="Garamond" w:hAnsi="Garamond" w:cs="Garamond"/>
          <w:sz w:val="24"/>
          <w:szCs w:val="24"/>
          <w:lang w:val="en-US"/>
        </w:rPr>
      </w:pPr>
      <w:r w:rsidRPr="00417745">
        <w:rPr>
          <w:rFonts w:ascii="Garamond" w:eastAsia="Garamond" w:hAnsi="Garamond" w:cs="Garamond"/>
          <w:sz w:val="24"/>
          <w:szCs w:val="24"/>
          <w:lang w:val="en-US"/>
        </w:rPr>
        <w:t xml:space="preserve">Dear </w:t>
      </w:r>
      <w:r w:rsidR="004D599F" w:rsidRPr="00417745">
        <w:rPr>
          <w:rFonts w:ascii="Garamond" w:eastAsia="Garamond" w:hAnsi="Garamond" w:cs="Garamond"/>
          <w:sz w:val="24"/>
          <w:szCs w:val="24"/>
          <w:lang w:val="en-US"/>
        </w:rPr>
        <w:t>Assembly</w:t>
      </w:r>
      <w:r w:rsidR="00B62096">
        <w:rPr>
          <w:rFonts w:ascii="Garamond" w:eastAsia="Garamond" w:hAnsi="Garamond" w:cs="Garamond"/>
          <w:sz w:val="24"/>
          <w:szCs w:val="24"/>
          <w:lang w:val="en-US"/>
        </w:rPr>
        <w:t xml:space="preserve"> M</w:t>
      </w:r>
      <w:r w:rsidR="004D599F" w:rsidRPr="00417745">
        <w:rPr>
          <w:rFonts w:ascii="Garamond" w:eastAsia="Garamond" w:hAnsi="Garamond" w:cs="Garamond"/>
          <w:sz w:val="24"/>
          <w:szCs w:val="24"/>
          <w:lang w:val="en-US"/>
        </w:rPr>
        <w:t>ember</w:t>
      </w:r>
      <w:r w:rsidR="00B62096">
        <w:rPr>
          <w:rFonts w:ascii="Garamond" w:eastAsia="Garamond" w:hAnsi="Garamond" w:cs="Garamond"/>
          <w:sz w:val="24"/>
          <w:szCs w:val="24"/>
          <w:lang w:val="en-US"/>
        </w:rPr>
        <w:t xml:space="preserve"> Phil Ting</w:t>
      </w:r>
      <w:r w:rsidRPr="00417745">
        <w:rPr>
          <w:rFonts w:ascii="Garamond" w:eastAsia="Garamond" w:hAnsi="Garamond" w:cs="Garamond"/>
          <w:sz w:val="24"/>
          <w:szCs w:val="24"/>
          <w:lang w:val="en-US"/>
        </w:rPr>
        <w:t>,</w:t>
      </w:r>
    </w:p>
    <w:p w14:paraId="21F5E0EC" w14:textId="77777777" w:rsidR="009C1308" w:rsidRPr="00417745" w:rsidRDefault="00014BEB" w:rsidP="00014BEB">
      <w:pPr>
        <w:shd w:val="clear" w:color="auto" w:fill="FFFFFF"/>
        <w:spacing w:line="240" w:lineRule="auto"/>
        <w:rPr>
          <w:rFonts w:ascii="Garamond" w:eastAsia="Garamond" w:hAnsi="Garamond" w:cs="Garamond"/>
          <w:sz w:val="24"/>
          <w:szCs w:val="24"/>
        </w:rPr>
      </w:pPr>
      <w:r w:rsidRPr="00417745">
        <w:rPr>
          <w:rFonts w:ascii="Garamond" w:eastAsia="Garamond" w:hAnsi="Garamond" w:cs="Garamond"/>
          <w:sz w:val="24"/>
          <w:szCs w:val="24"/>
        </w:rPr>
        <w:t> </w:t>
      </w:r>
    </w:p>
    <w:p w14:paraId="70C281EB" w14:textId="6ABD3A45" w:rsidR="009C1308" w:rsidRPr="00417745" w:rsidRDefault="001C3C98" w:rsidP="00014BEB">
      <w:pPr>
        <w:spacing w:line="240" w:lineRule="auto"/>
        <w:rPr>
          <w:rFonts w:ascii="Garamond" w:eastAsia="Garamond" w:hAnsi="Garamond" w:cs="Garamond"/>
          <w:sz w:val="24"/>
          <w:szCs w:val="24"/>
        </w:rPr>
      </w:pPr>
      <w:r w:rsidRPr="001C3C98">
        <w:rPr>
          <w:rFonts w:ascii="Garamond" w:eastAsia="Garamond" w:hAnsi="Garamond" w:cs="Garamond"/>
          <w:sz w:val="24"/>
          <w:szCs w:val="24"/>
        </w:rPr>
        <w:t xml:space="preserve">On behalf of </w:t>
      </w:r>
      <w:r w:rsidR="00014BEB" w:rsidRPr="00417745">
        <w:rPr>
          <w:rFonts w:ascii="Garamond" w:eastAsia="Garamond" w:hAnsi="Garamond" w:cs="Garamond"/>
          <w:sz w:val="24"/>
          <w:szCs w:val="24"/>
          <w:highlight w:val="yellow"/>
        </w:rPr>
        <w:t>[YOUR ORGANIZATION]</w:t>
      </w:r>
      <w:r>
        <w:rPr>
          <w:rFonts w:ascii="Garamond" w:eastAsia="Garamond" w:hAnsi="Garamond" w:cs="Garamond"/>
          <w:sz w:val="24"/>
          <w:szCs w:val="24"/>
        </w:rPr>
        <w:t>, I write</w:t>
      </w:r>
      <w:r w:rsidR="00014BEB" w:rsidRPr="00417745">
        <w:rPr>
          <w:rFonts w:ascii="Garamond" w:eastAsia="Garamond" w:hAnsi="Garamond" w:cs="Garamond"/>
          <w:sz w:val="24"/>
          <w:szCs w:val="24"/>
        </w:rPr>
        <w:t xml:space="preserve"> to support </w:t>
      </w:r>
      <w:r w:rsidR="00B06D33" w:rsidRPr="00417745">
        <w:rPr>
          <w:rFonts w:ascii="Garamond" w:eastAsia="Garamond" w:hAnsi="Garamond" w:cs="Garamond"/>
          <w:sz w:val="24"/>
          <w:szCs w:val="24"/>
        </w:rPr>
        <w:t xml:space="preserve">Assembly Bill </w:t>
      </w:r>
      <w:r w:rsidR="00B62096">
        <w:rPr>
          <w:rFonts w:ascii="Garamond" w:eastAsia="Garamond" w:hAnsi="Garamond" w:cs="Garamond"/>
          <w:sz w:val="24"/>
          <w:szCs w:val="24"/>
        </w:rPr>
        <w:t xml:space="preserve">1633. </w:t>
      </w:r>
      <w:r w:rsidR="00B62096" w:rsidRPr="00B62096">
        <w:rPr>
          <w:rFonts w:ascii="Garamond" w:eastAsia="Garamond" w:hAnsi="Garamond" w:cs="Garamond"/>
          <w:sz w:val="24"/>
          <w:szCs w:val="24"/>
        </w:rPr>
        <w:t>This important measure clarifies existing law, which specifies that the wrongful denial or withholding of a CEQA clearance to which a housing development is legally entitled, violates the Housing Accountability Act (HAA).</w:t>
      </w:r>
      <w:r w:rsidR="00B62096">
        <w:rPr>
          <w:rFonts w:ascii="Garamond" w:eastAsia="Garamond" w:hAnsi="Garamond" w:cs="Garamond"/>
          <w:sz w:val="24"/>
          <w:szCs w:val="24"/>
        </w:rPr>
        <w:t xml:space="preserve"> </w:t>
      </w:r>
    </w:p>
    <w:p w14:paraId="70FEF972" w14:textId="77777777" w:rsidR="00014BEB" w:rsidRPr="00417745" w:rsidRDefault="00014BEB" w:rsidP="00014BEB">
      <w:pPr>
        <w:spacing w:line="240" w:lineRule="auto"/>
        <w:rPr>
          <w:rFonts w:ascii="Garamond" w:eastAsia="Garamond" w:hAnsi="Garamond" w:cs="Garamond"/>
          <w:sz w:val="24"/>
          <w:szCs w:val="24"/>
        </w:rPr>
      </w:pPr>
    </w:p>
    <w:p w14:paraId="00B48BF8" w14:textId="7F66D0CA" w:rsidR="004E429C" w:rsidRPr="00BA7F66" w:rsidRDefault="004E429C" w:rsidP="00014BEB">
      <w:pPr>
        <w:spacing w:line="240" w:lineRule="auto"/>
        <w:rPr>
          <w:rFonts w:ascii="Garamond" w:eastAsia="Garamond" w:hAnsi="Garamond" w:cs="Garamond"/>
          <w:highlight w:val="yellow"/>
          <w:lang w:val="en-US"/>
        </w:rPr>
      </w:pPr>
      <w:r w:rsidRPr="00BA7F66">
        <w:rPr>
          <w:rFonts w:ascii="Garamond" w:eastAsia="Garamond" w:hAnsi="Garamond" w:cs="Garamond"/>
          <w:highlight w:val="yellow"/>
          <w:lang w:val="en-US"/>
        </w:rPr>
        <w:t>[OPTIONAL: INSERT BRIEF STATEMENT ABOUT WHY YO</w:t>
      </w:r>
      <w:r w:rsidR="00FE2135" w:rsidRPr="00BA7F66">
        <w:rPr>
          <w:rFonts w:ascii="Garamond" w:eastAsia="Garamond" w:hAnsi="Garamond" w:cs="Garamond"/>
          <w:highlight w:val="yellow"/>
          <w:lang w:val="en-US"/>
        </w:rPr>
        <w:t xml:space="preserve">UR ORGANIZATION SUPPORTS AB </w:t>
      </w:r>
      <w:r w:rsidR="00B62096">
        <w:rPr>
          <w:rFonts w:ascii="Garamond" w:eastAsia="Garamond" w:hAnsi="Garamond" w:cs="Garamond"/>
          <w:highlight w:val="yellow"/>
          <w:lang w:val="en-US"/>
        </w:rPr>
        <w:t>1633</w:t>
      </w:r>
      <w:r w:rsidRPr="00BA7F66">
        <w:rPr>
          <w:rFonts w:ascii="Garamond" w:eastAsia="Garamond" w:hAnsi="Garamond" w:cs="Garamond"/>
          <w:highlight w:val="yellow"/>
          <w:lang w:val="en-US"/>
        </w:rPr>
        <w:t xml:space="preserve"> AND/OR HOW IT WILL IMPACT YOUR MEMBERS. IF YOU DO NOT WANT TO INCLUDE A STATEMENT, PLEASE DELETE THIS PARAGRAPH.]</w:t>
      </w:r>
    </w:p>
    <w:p w14:paraId="296A5ED2" w14:textId="77777777" w:rsidR="00014BEB" w:rsidRPr="00417745" w:rsidRDefault="00014BEB" w:rsidP="00014BEB">
      <w:pPr>
        <w:spacing w:line="240" w:lineRule="auto"/>
        <w:rPr>
          <w:rFonts w:ascii="Garamond" w:eastAsia="Garamond" w:hAnsi="Garamond" w:cs="Garamond"/>
          <w:sz w:val="24"/>
          <w:szCs w:val="24"/>
          <w:highlight w:val="yellow"/>
          <w:lang w:val="en-US"/>
        </w:rPr>
      </w:pPr>
    </w:p>
    <w:p w14:paraId="6792FB82" w14:textId="77777777" w:rsidR="00B62096" w:rsidRPr="00B62096" w:rsidRDefault="00B62096" w:rsidP="00B62096">
      <w:pPr>
        <w:spacing w:line="240" w:lineRule="auto"/>
        <w:rPr>
          <w:rFonts w:ascii="Garamond" w:hAnsi="Garamond"/>
          <w:sz w:val="24"/>
          <w:szCs w:val="24"/>
        </w:rPr>
      </w:pPr>
      <w:r w:rsidRPr="00B62096">
        <w:rPr>
          <w:rFonts w:ascii="Garamond" w:hAnsi="Garamond"/>
          <w:sz w:val="24"/>
          <w:szCs w:val="24"/>
        </w:rPr>
        <w:t>The California Environmental Quality Act (CEQA) ensures that any proposed development in the state maintains rigorous standards of environmental review and performance and minimizes impacts on human health and the environment. In addition to providing urgently-needed housing to city residents, “infill” housing projects, or homes built in developed urban areas, typically result in improved environmental performance due to their more efficient land, energy, and water use, greater economies of scale for city infrastructure and services.</w:t>
      </w:r>
    </w:p>
    <w:p w14:paraId="0CC79E72" w14:textId="77777777" w:rsidR="00B62096" w:rsidRPr="00B62096" w:rsidRDefault="00B62096" w:rsidP="00B62096">
      <w:pPr>
        <w:spacing w:line="240" w:lineRule="auto"/>
        <w:rPr>
          <w:rFonts w:ascii="Garamond" w:hAnsi="Garamond"/>
          <w:sz w:val="24"/>
          <w:szCs w:val="24"/>
        </w:rPr>
      </w:pPr>
      <w:r w:rsidRPr="00B62096">
        <w:rPr>
          <w:rFonts w:ascii="Garamond" w:hAnsi="Garamond"/>
          <w:sz w:val="24"/>
          <w:szCs w:val="24"/>
        </w:rPr>
        <w:t xml:space="preserve"> </w:t>
      </w:r>
    </w:p>
    <w:p w14:paraId="61162453" w14:textId="77777777" w:rsidR="00B62096" w:rsidRPr="00B62096" w:rsidRDefault="00B62096" w:rsidP="00B62096">
      <w:pPr>
        <w:spacing w:line="240" w:lineRule="auto"/>
        <w:rPr>
          <w:rFonts w:ascii="Garamond" w:hAnsi="Garamond"/>
          <w:sz w:val="24"/>
          <w:szCs w:val="24"/>
        </w:rPr>
      </w:pPr>
      <w:r w:rsidRPr="00B62096">
        <w:rPr>
          <w:rFonts w:ascii="Garamond" w:hAnsi="Garamond"/>
          <w:sz w:val="24"/>
          <w:szCs w:val="24"/>
        </w:rPr>
        <w:t xml:space="preserve">Therefore, state housing law recognizes these types of housing projects as environmentally beneficial, making them eligible for exemptions of environmental review through a process referred to as a “CEQA clearance.” Unfortunately, in a deliberate effort to delay or permanently block new housing projects, some jurisdictions demand additional CEQA review – beyond what is required for CEQA clearance. </w:t>
      </w:r>
    </w:p>
    <w:p w14:paraId="297C64BD" w14:textId="77777777" w:rsidR="00B62096" w:rsidRPr="00B62096" w:rsidRDefault="00B62096" w:rsidP="00B62096">
      <w:pPr>
        <w:spacing w:line="240" w:lineRule="auto"/>
        <w:rPr>
          <w:rFonts w:ascii="Garamond" w:hAnsi="Garamond"/>
          <w:sz w:val="24"/>
          <w:szCs w:val="24"/>
        </w:rPr>
      </w:pPr>
      <w:r w:rsidRPr="00B62096">
        <w:rPr>
          <w:rFonts w:ascii="Garamond" w:hAnsi="Garamond"/>
          <w:sz w:val="24"/>
          <w:szCs w:val="24"/>
        </w:rPr>
        <w:t xml:space="preserve"> </w:t>
      </w:r>
    </w:p>
    <w:p w14:paraId="29B26D53" w14:textId="5837B3CF" w:rsidR="00417745" w:rsidRPr="00417745" w:rsidRDefault="00B62096" w:rsidP="00B62096">
      <w:pPr>
        <w:spacing w:line="240" w:lineRule="auto"/>
        <w:rPr>
          <w:rFonts w:ascii="Garamond" w:hAnsi="Garamond"/>
          <w:sz w:val="24"/>
          <w:szCs w:val="24"/>
        </w:rPr>
      </w:pPr>
      <w:r w:rsidRPr="00B62096">
        <w:rPr>
          <w:rFonts w:ascii="Garamond" w:hAnsi="Garamond"/>
          <w:sz w:val="24"/>
          <w:szCs w:val="24"/>
        </w:rPr>
        <w:t>AB 1633 is a straightforward solution that will end local governments’ abuse of CEQA, blocking new housing developments that have already been found in compliance with local and state land use and environmen</w:t>
      </w:r>
      <w:r>
        <w:rPr>
          <w:rFonts w:ascii="Garamond" w:hAnsi="Garamond"/>
          <w:sz w:val="24"/>
          <w:szCs w:val="24"/>
        </w:rPr>
        <w:t>tal regulations.</w:t>
      </w:r>
    </w:p>
    <w:p w14:paraId="3D18D295" w14:textId="77777777" w:rsidR="00014BEB" w:rsidRPr="00417745" w:rsidRDefault="00014BEB" w:rsidP="00014BEB">
      <w:pPr>
        <w:spacing w:line="240" w:lineRule="auto"/>
        <w:rPr>
          <w:rFonts w:ascii="Garamond" w:eastAsia="Garamond" w:hAnsi="Garamond" w:cs="Garamond"/>
          <w:sz w:val="24"/>
          <w:szCs w:val="24"/>
        </w:rPr>
      </w:pPr>
    </w:p>
    <w:p w14:paraId="7C537844" w14:textId="491E8C9C" w:rsidR="00BA7F66" w:rsidRPr="00417745" w:rsidRDefault="00B62096" w:rsidP="00014BEB">
      <w:pPr>
        <w:spacing w:line="240" w:lineRule="auto"/>
        <w:rPr>
          <w:rFonts w:ascii="Garamond" w:eastAsia="Garamond" w:hAnsi="Garamond" w:cs="Garamond"/>
          <w:sz w:val="24"/>
          <w:szCs w:val="24"/>
        </w:rPr>
      </w:pPr>
      <w:r>
        <w:rPr>
          <w:rFonts w:ascii="Garamond" w:eastAsia="Garamond" w:hAnsi="Garamond" w:cs="Garamond"/>
          <w:sz w:val="24"/>
          <w:szCs w:val="24"/>
        </w:rPr>
        <w:t>For these reasons</w:t>
      </w:r>
      <w:r w:rsidR="00014BEB" w:rsidRPr="00417745">
        <w:rPr>
          <w:rFonts w:ascii="Garamond" w:eastAsia="Garamond" w:hAnsi="Garamond" w:cs="Garamond"/>
          <w:sz w:val="24"/>
          <w:szCs w:val="24"/>
        </w:rPr>
        <w:t xml:space="preserve">, </w:t>
      </w:r>
      <w:r w:rsidR="00014BEB" w:rsidRPr="00417745">
        <w:rPr>
          <w:rFonts w:ascii="Garamond" w:eastAsia="Garamond" w:hAnsi="Garamond" w:cs="Garamond"/>
          <w:sz w:val="24"/>
          <w:szCs w:val="24"/>
          <w:highlight w:val="yellow"/>
        </w:rPr>
        <w:t>[YOUR ORGANIZATION</w:t>
      </w:r>
      <w:r w:rsidR="00BA7F66">
        <w:rPr>
          <w:rFonts w:ascii="Garamond" w:eastAsia="Garamond" w:hAnsi="Garamond" w:cs="Garamond"/>
          <w:sz w:val="24"/>
          <w:szCs w:val="24"/>
        </w:rPr>
        <w:t xml:space="preserve">] supports AB </w:t>
      </w:r>
      <w:r>
        <w:rPr>
          <w:rFonts w:ascii="Garamond" w:eastAsia="Garamond" w:hAnsi="Garamond" w:cs="Garamond"/>
          <w:sz w:val="24"/>
          <w:szCs w:val="24"/>
        </w:rPr>
        <w:t>1633 (Ting</w:t>
      </w:r>
      <w:r w:rsidR="001C3C98">
        <w:rPr>
          <w:rFonts w:ascii="Garamond" w:eastAsia="Garamond" w:hAnsi="Garamond" w:cs="Garamond"/>
          <w:sz w:val="24"/>
          <w:szCs w:val="24"/>
        </w:rPr>
        <w:t>)</w:t>
      </w:r>
      <w:r w:rsidR="00014BEB" w:rsidRPr="00417745">
        <w:rPr>
          <w:rFonts w:ascii="Garamond" w:eastAsia="Garamond" w:hAnsi="Garamond" w:cs="Garamond"/>
          <w:sz w:val="24"/>
          <w:szCs w:val="24"/>
        </w:rPr>
        <w:t>.</w:t>
      </w:r>
    </w:p>
    <w:p w14:paraId="679D5660" w14:textId="77777777" w:rsidR="00B62096" w:rsidRDefault="00B62096" w:rsidP="00B62096">
      <w:pPr>
        <w:spacing w:line="240" w:lineRule="auto"/>
        <w:rPr>
          <w:rFonts w:ascii="Garamond" w:eastAsia="Garamond" w:hAnsi="Garamond" w:cs="Garamond"/>
          <w:sz w:val="24"/>
          <w:szCs w:val="24"/>
        </w:rPr>
      </w:pPr>
    </w:p>
    <w:p w14:paraId="2939B640" w14:textId="77777777" w:rsidR="009C1308" w:rsidRPr="00417745" w:rsidRDefault="00014BEB" w:rsidP="00B62096">
      <w:pPr>
        <w:spacing w:line="240" w:lineRule="auto"/>
        <w:rPr>
          <w:rFonts w:ascii="Garamond" w:eastAsia="Garamond" w:hAnsi="Garamond" w:cs="Garamond"/>
          <w:sz w:val="24"/>
          <w:szCs w:val="24"/>
        </w:rPr>
      </w:pPr>
      <w:r w:rsidRPr="00417745">
        <w:rPr>
          <w:rFonts w:ascii="Garamond" w:eastAsia="Garamond" w:hAnsi="Garamond" w:cs="Garamond"/>
          <w:sz w:val="24"/>
          <w:szCs w:val="24"/>
        </w:rPr>
        <w:t>Sincerely,</w:t>
      </w:r>
    </w:p>
    <w:p w14:paraId="26117E4F" w14:textId="77777777" w:rsidR="009C1308" w:rsidRPr="00417745" w:rsidRDefault="009C1308" w:rsidP="00B62096">
      <w:pPr>
        <w:spacing w:line="240" w:lineRule="auto"/>
        <w:rPr>
          <w:rFonts w:ascii="Garamond" w:eastAsia="Garamond" w:hAnsi="Garamond" w:cs="Garamond"/>
          <w:sz w:val="24"/>
          <w:szCs w:val="24"/>
        </w:rPr>
      </w:pPr>
    </w:p>
    <w:p w14:paraId="08275400" w14:textId="77777777" w:rsidR="009C1308" w:rsidRPr="00417745" w:rsidRDefault="00014BEB" w:rsidP="00B62096">
      <w:pPr>
        <w:spacing w:line="240" w:lineRule="auto"/>
        <w:rPr>
          <w:rFonts w:ascii="Garamond" w:eastAsia="Garamond" w:hAnsi="Garamond" w:cs="Garamond"/>
          <w:sz w:val="24"/>
          <w:szCs w:val="24"/>
        </w:rPr>
      </w:pPr>
      <w:r w:rsidRPr="00417745">
        <w:rPr>
          <w:rFonts w:ascii="Garamond" w:eastAsia="Garamond" w:hAnsi="Garamond" w:cs="Garamond"/>
          <w:sz w:val="24"/>
          <w:szCs w:val="24"/>
          <w:highlight w:val="yellow"/>
        </w:rPr>
        <w:t>[Signature]</w:t>
      </w:r>
    </w:p>
    <w:p w14:paraId="67CE396C" w14:textId="77777777" w:rsidR="009C1308" w:rsidRPr="00417745" w:rsidRDefault="00014BEB" w:rsidP="00B62096">
      <w:pPr>
        <w:spacing w:line="240" w:lineRule="auto"/>
        <w:rPr>
          <w:rFonts w:ascii="Garamond" w:eastAsia="Garamond" w:hAnsi="Garamond" w:cs="Garamond"/>
          <w:b/>
          <w:sz w:val="24"/>
          <w:szCs w:val="24"/>
          <w:highlight w:val="yellow"/>
        </w:rPr>
      </w:pPr>
      <w:r w:rsidRPr="00417745">
        <w:rPr>
          <w:rFonts w:ascii="Garamond" w:eastAsia="Garamond" w:hAnsi="Garamond" w:cs="Garamond"/>
          <w:b/>
          <w:sz w:val="24"/>
          <w:szCs w:val="24"/>
          <w:highlight w:val="yellow"/>
        </w:rPr>
        <w:t>[Typed Name]</w:t>
      </w:r>
    </w:p>
    <w:sectPr w:rsidR="009C1308" w:rsidRPr="0041774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D6E00" w14:textId="77777777" w:rsidR="008C7292" w:rsidRDefault="008C7292" w:rsidP="00FE2135">
      <w:pPr>
        <w:spacing w:line="240" w:lineRule="auto"/>
      </w:pPr>
      <w:r>
        <w:separator/>
      </w:r>
    </w:p>
  </w:endnote>
  <w:endnote w:type="continuationSeparator" w:id="0">
    <w:p w14:paraId="0A4E75AF" w14:textId="77777777" w:rsidR="008C7292" w:rsidRDefault="008C7292" w:rsidP="00FE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C33CD" w14:textId="77777777" w:rsidR="008C7292" w:rsidRDefault="008C7292" w:rsidP="00FE2135">
      <w:pPr>
        <w:spacing w:line="240" w:lineRule="auto"/>
      </w:pPr>
      <w:r>
        <w:separator/>
      </w:r>
    </w:p>
  </w:footnote>
  <w:footnote w:type="continuationSeparator" w:id="0">
    <w:p w14:paraId="61476B7E" w14:textId="77777777" w:rsidR="008C7292" w:rsidRDefault="008C7292" w:rsidP="00FE21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08"/>
    <w:rsid w:val="00014BEB"/>
    <w:rsid w:val="00040D4A"/>
    <w:rsid w:val="000669BB"/>
    <w:rsid w:val="001C3C98"/>
    <w:rsid w:val="00267A4C"/>
    <w:rsid w:val="002C24E8"/>
    <w:rsid w:val="00417745"/>
    <w:rsid w:val="00475082"/>
    <w:rsid w:val="004A54E5"/>
    <w:rsid w:val="004D599F"/>
    <w:rsid w:val="004E429C"/>
    <w:rsid w:val="005B38D6"/>
    <w:rsid w:val="00712E7C"/>
    <w:rsid w:val="00797F5A"/>
    <w:rsid w:val="00824C9C"/>
    <w:rsid w:val="008C7292"/>
    <w:rsid w:val="0097697F"/>
    <w:rsid w:val="00980B61"/>
    <w:rsid w:val="009C1308"/>
    <w:rsid w:val="00B06D33"/>
    <w:rsid w:val="00B2133C"/>
    <w:rsid w:val="00B62096"/>
    <w:rsid w:val="00BA7F66"/>
    <w:rsid w:val="00CE7101"/>
    <w:rsid w:val="00D36B73"/>
    <w:rsid w:val="00DD0646"/>
    <w:rsid w:val="00DE0F50"/>
    <w:rsid w:val="00EF5A2B"/>
    <w:rsid w:val="00FE213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2CB3"/>
  <w15:docId w15:val="{4E87D47A-BF73-4744-8546-30E37E4A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4E429C"/>
    <w:rPr>
      <w:color w:val="0000FF" w:themeColor="hyperlink"/>
      <w:u w:val="single"/>
    </w:rPr>
  </w:style>
  <w:style w:type="paragraph" w:styleId="NoSpacing">
    <w:name w:val="No Spacing"/>
    <w:uiPriority w:val="1"/>
    <w:qFormat/>
    <w:rsid w:val="004E429C"/>
    <w:pPr>
      <w:spacing w:line="240" w:lineRule="auto"/>
    </w:pPr>
    <w:rPr>
      <w:rFonts w:ascii="Calibri" w:eastAsia="Calibri" w:hAnsi="Calibri" w:cs="Times New Roman"/>
      <w:lang w:val="en-US"/>
    </w:rPr>
  </w:style>
  <w:style w:type="paragraph" w:styleId="Header">
    <w:name w:val="header"/>
    <w:basedOn w:val="Normal"/>
    <w:link w:val="HeaderChar"/>
    <w:uiPriority w:val="99"/>
    <w:unhideWhenUsed/>
    <w:rsid w:val="00FE2135"/>
    <w:pPr>
      <w:tabs>
        <w:tab w:val="center" w:pos="4680"/>
        <w:tab w:val="right" w:pos="9360"/>
      </w:tabs>
      <w:spacing w:line="240" w:lineRule="auto"/>
    </w:pPr>
  </w:style>
  <w:style w:type="character" w:customStyle="1" w:styleId="HeaderChar">
    <w:name w:val="Header Char"/>
    <w:basedOn w:val="DefaultParagraphFont"/>
    <w:link w:val="Header"/>
    <w:uiPriority w:val="99"/>
    <w:rsid w:val="00FE2135"/>
  </w:style>
  <w:style w:type="paragraph" w:styleId="Footer">
    <w:name w:val="footer"/>
    <w:basedOn w:val="Normal"/>
    <w:link w:val="FooterChar"/>
    <w:uiPriority w:val="99"/>
    <w:unhideWhenUsed/>
    <w:rsid w:val="00FE2135"/>
    <w:pPr>
      <w:tabs>
        <w:tab w:val="center" w:pos="4680"/>
        <w:tab w:val="right" w:pos="9360"/>
      </w:tabs>
      <w:spacing w:line="240" w:lineRule="auto"/>
    </w:pPr>
  </w:style>
  <w:style w:type="character" w:customStyle="1" w:styleId="FooterChar">
    <w:name w:val="Footer Char"/>
    <w:basedOn w:val="DefaultParagraphFont"/>
    <w:link w:val="Footer"/>
    <w:uiPriority w:val="99"/>
    <w:rsid w:val="00FE2135"/>
  </w:style>
  <w:style w:type="character" w:styleId="FollowedHyperlink">
    <w:name w:val="FollowedHyperlink"/>
    <w:basedOn w:val="DefaultParagraphFont"/>
    <w:uiPriority w:val="99"/>
    <w:semiHidden/>
    <w:unhideWhenUsed/>
    <w:rsid w:val="00FE21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linda.rios@asm.ca.gov" TargetMode="External"/><Relationship Id="rId7" Type="http://schemas.openxmlformats.org/officeDocument/2006/relationships/hyperlink" Target="https://calegislation.lc.ca.gov/Advocat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 Panana</cp:lastModifiedBy>
  <cp:revision>2</cp:revision>
  <dcterms:created xsi:type="dcterms:W3CDTF">2023-02-22T06:20:00Z</dcterms:created>
  <dcterms:modified xsi:type="dcterms:W3CDTF">2023-02-22T06:20:00Z</dcterms:modified>
</cp:coreProperties>
</file>